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6261B3" w14:paraId="3E6A0EAB" w14:textId="77777777" w:rsidTr="001555AC">
        <w:trPr>
          <w:trHeight w:val="20"/>
        </w:trPr>
        <w:tc>
          <w:tcPr>
            <w:tcW w:w="5000" w:type="pct"/>
            <w:shd w:val="clear" w:color="auto" w:fill="FFFFCC"/>
          </w:tcPr>
          <w:p w14:paraId="518A36ED" w14:textId="67DC1A03" w:rsidR="00F372C9" w:rsidRPr="006261B3" w:rsidRDefault="00222BED" w:rsidP="006261B3">
            <w:pPr>
              <w:jc w:val="center"/>
              <w:rPr>
                <w:rFonts w:ascii="Times New Roman" w:hAnsi="Times New Roman" w:cs="Times New Roman"/>
                <w:b/>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261B3">
              <w:rPr>
                <w:rFonts w:ascii="Times New Roman" w:hAnsi="Times New Roman" w:cs="Times New Roman"/>
                <w:b/>
                <w:sz w:val="24"/>
                <w:szCs w:val="24"/>
                <w:lang w:val="lt-LT"/>
              </w:rPr>
              <w:t>SPOC SISTEMOS PRIEŽIŪROS PASLAUGŲ PIRKIMAS (PPR-143)</w:t>
            </w:r>
          </w:p>
        </w:tc>
      </w:tr>
    </w:tbl>
    <w:p w14:paraId="0C811A87" w14:textId="77777777" w:rsidR="00DC06DE" w:rsidRPr="006261B3" w:rsidRDefault="00DC06DE" w:rsidP="006261B3">
      <w:pPr>
        <w:spacing w:after="0" w:line="240" w:lineRule="auto"/>
        <w:rPr>
          <w:rFonts w:ascii="Times New Roman" w:hAnsi="Times New Roman" w:cs="Times New Roman"/>
          <w:b/>
          <w:sz w:val="24"/>
          <w:szCs w:val="24"/>
          <w:lang w:val="lt-LT"/>
        </w:rPr>
      </w:pPr>
    </w:p>
    <w:p w14:paraId="57EB7483" w14:textId="77777777" w:rsidR="00F372C9" w:rsidRPr="006261B3" w:rsidRDefault="00F372C9" w:rsidP="006261B3">
      <w:pPr>
        <w:spacing w:after="0" w:line="240" w:lineRule="auto"/>
        <w:rPr>
          <w:rFonts w:ascii="Times New Roman" w:hAnsi="Times New Roman" w:cs="Times New Roman"/>
          <w:b/>
          <w:sz w:val="24"/>
          <w:szCs w:val="24"/>
          <w:lang w:val="lt-LT"/>
        </w:rPr>
      </w:pPr>
    </w:p>
    <w:p w14:paraId="2FBC2785" w14:textId="11865D77" w:rsidR="00222BED" w:rsidRPr="006261B3" w:rsidRDefault="00222BED" w:rsidP="006261B3">
      <w:pPr>
        <w:spacing w:after="0" w:line="240" w:lineRule="auto"/>
        <w:jc w:val="center"/>
        <w:rPr>
          <w:rFonts w:ascii="Times New Roman" w:hAnsi="Times New Roman" w:cs="Times New Roman"/>
          <w:b/>
          <w:color w:val="000000"/>
          <w:sz w:val="24"/>
          <w:szCs w:val="24"/>
          <w:lang w:val="lt-LT"/>
        </w:rPr>
      </w:pPr>
      <w:bookmarkStart w:id="15" w:name="part_3d002f34ccb645cfb2957ac8c92cb377"/>
      <w:bookmarkStart w:id="16" w:name="_Toc3553359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261B3">
        <w:rPr>
          <w:rFonts w:ascii="Times New Roman" w:hAnsi="Times New Roman" w:cs="Times New Roman"/>
          <w:b/>
          <w:sz w:val="24"/>
          <w:szCs w:val="24"/>
          <w:lang w:val="lt-LT"/>
        </w:rPr>
        <w:t>TECHNINĖS SPECIFIKACIJ</w:t>
      </w:r>
      <w:r w:rsidR="002B475A">
        <w:rPr>
          <w:rFonts w:ascii="Times New Roman" w:hAnsi="Times New Roman" w:cs="Times New Roman"/>
          <w:b/>
          <w:sz w:val="24"/>
          <w:szCs w:val="24"/>
          <w:lang w:val="lt-LT"/>
        </w:rPr>
        <w:t>A</w:t>
      </w:r>
    </w:p>
    <w:p w14:paraId="19F05751" w14:textId="77777777" w:rsidR="006261B3" w:rsidRDefault="006261B3" w:rsidP="006261B3">
      <w:pPr>
        <w:spacing w:after="0" w:line="240" w:lineRule="auto"/>
        <w:jc w:val="center"/>
        <w:rPr>
          <w:rFonts w:ascii="Times New Roman" w:hAnsi="Times New Roman" w:cs="Times New Roman"/>
          <w:b/>
          <w:color w:val="000000"/>
          <w:sz w:val="24"/>
          <w:szCs w:val="24"/>
          <w:lang w:val="lt-LT"/>
        </w:rPr>
      </w:pPr>
    </w:p>
    <w:p w14:paraId="7382CB4F" w14:textId="77777777" w:rsidR="002B475A" w:rsidRPr="007B004A" w:rsidRDefault="002B475A" w:rsidP="002B475A">
      <w:pPr>
        <w:spacing w:before="60" w:after="60" w:line="120" w:lineRule="auto"/>
        <w:rPr>
          <w:rFonts w:ascii="Calibri Light" w:hAnsi="Calibri Light" w:cs="Calibri Light"/>
          <w:b/>
          <w:sz w:val="20"/>
          <w:szCs w:val="20"/>
          <w:lang w:val="lt-LT"/>
        </w:rPr>
      </w:pPr>
    </w:p>
    <w:p w14:paraId="7BBE9AC5" w14:textId="77777777" w:rsidR="002B475A" w:rsidRPr="007B004A" w:rsidRDefault="002B475A" w:rsidP="002B475A">
      <w:pPr>
        <w:spacing w:before="60" w:after="60" w:line="240" w:lineRule="auto"/>
        <w:ind w:left="-709"/>
        <w:rPr>
          <w:rFonts w:ascii="Calibri Light" w:hAnsi="Calibri Light" w:cs="Calibri Light"/>
          <w:b/>
          <w:sz w:val="20"/>
          <w:szCs w:val="20"/>
          <w:lang w:val="lt-LT"/>
        </w:rPr>
      </w:pPr>
    </w:p>
    <w:tbl>
      <w:tblPr>
        <w:tblStyle w:val="Lentelstinklelis"/>
        <w:tblW w:w="0" w:type="auto"/>
        <w:tblLook w:val="04A0" w:firstRow="1" w:lastRow="0" w:firstColumn="1" w:lastColumn="0" w:noHBand="0" w:noVBand="1"/>
      </w:tblPr>
      <w:tblGrid>
        <w:gridCol w:w="10339"/>
      </w:tblGrid>
      <w:tr w:rsidR="002B475A" w14:paraId="0D5DAD37" w14:textId="77777777" w:rsidTr="009D29FF">
        <w:tc>
          <w:tcPr>
            <w:tcW w:w="10339" w:type="dxa"/>
          </w:tcPr>
          <w:p w14:paraId="5A44682F" w14:textId="77777777" w:rsidR="002B475A" w:rsidRPr="003B7395" w:rsidRDefault="002B475A" w:rsidP="009D29FF">
            <w:pPr>
              <w:contextualSpacing/>
              <w:jc w:val="center"/>
              <w:rPr>
                <w:rFonts w:ascii="Calibri" w:eastAsia="Calibri" w:hAnsi="Calibri" w:cs="Calibri"/>
                <w:b/>
                <w:bCs/>
                <w:caps/>
                <w:lang w:val="lt-LT"/>
              </w:rPr>
            </w:pPr>
            <w:r w:rsidRPr="00AD47A2">
              <w:rPr>
                <w:rFonts w:ascii="Calibri" w:eastAsia="Calibri" w:hAnsi="Calibri" w:cs="Calibri"/>
                <w:b/>
                <w:bCs/>
                <w:caps/>
                <w:lang w:val="lt-LT"/>
              </w:rPr>
              <w:t>Reikalavimai susiję su nacionaliniu saugumu</w:t>
            </w:r>
          </w:p>
        </w:tc>
      </w:tr>
      <w:tr w:rsidR="002B475A" w14:paraId="327BF886" w14:textId="77777777" w:rsidTr="009D29FF">
        <w:tc>
          <w:tcPr>
            <w:tcW w:w="10339" w:type="dxa"/>
          </w:tcPr>
          <w:p w14:paraId="505C0BB7" w14:textId="77777777" w:rsidR="002B475A" w:rsidRDefault="002B475A" w:rsidP="009D29FF">
            <w:pPr>
              <w:spacing w:before="60" w:after="60"/>
              <w:rPr>
                <w:rFonts w:ascii="Calibri Light" w:hAnsi="Calibri Light" w:cs="Calibri Light"/>
                <w:b/>
                <w:sz w:val="20"/>
                <w:szCs w:val="20"/>
                <w:lang w:val="lt-LT"/>
              </w:rPr>
            </w:pPr>
          </w:p>
          <w:p w14:paraId="763A464A" w14:textId="24A8DACB" w:rsidR="002B475A" w:rsidRPr="00A9338B" w:rsidRDefault="002B475A" w:rsidP="009D29FF">
            <w:pPr>
              <w:spacing w:before="60" w:after="60"/>
              <w:rPr>
                <w:rFonts w:ascii="Calibri Light" w:hAnsi="Calibri Light" w:cs="Calibri Light"/>
                <w:sz w:val="20"/>
                <w:szCs w:val="20"/>
                <w:lang w:val="lt-LT"/>
              </w:rPr>
            </w:pPr>
            <w:r w:rsidRPr="00586FA3">
              <w:rPr>
                <w:rFonts w:ascii="Calibri Light" w:hAnsi="Calibri Light" w:cs="Calibri Light"/>
                <w:b/>
                <w:sz w:val="20"/>
                <w:szCs w:val="20"/>
                <w:u w:val="single"/>
                <w:lang w:val="lt-LT"/>
              </w:rPr>
              <w:t>Pirkimo objektui taikomi Lietuvos Respublikos viešųjų pirkimų įstatymo 37 str. 9 dalies reikalavimai susiję su nacionaliniu saugumu</w:t>
            </w:r>
            <w:r>
              <w:rPr>
                <w:rFonts w:ascii="Calibri Light" w:hAnsi="Calibri Light" w:cs="Calibri Light"/>
                <w:b/>
                <w:sz w:val="20"/>
                <w:szCs w:val="20"/>
                <w:u w:val="single"/>
                <w:lang w:val="lt-LT"/>
              </w:rPr>
              <w:t>*</w:t>
            </w:r>
            <w:r w:rsidRPr="00586FA3">
              <w:rPr>
                <w:rFonts w:ascii="Calibri Light" w:hAnsi="Calibri Light" w:cs="Calibri Light"/>
                <w:sz w:val="20"/>
                <w:szCs w:val="20"/>
                <w:lang w:val="lt-LT"/>
              </w:rPr>
              <w:t>.</w:t>
            </w:r>
            <w:r>
              <w:rPr>
                <w:rFonts w:ascii="Calibri Light" w:hAnsi="Calibri Light" w:cs="Calibri Light"/>
                <w:sz w:val="20"/>
                <w:szCs w:val="20"/>
                <w:lang w:val="lt-LT"/>
              </w:rPr>
              <w:t xml:space="preserve"> Tiekėjas privalo įrodyti, </w:t>
            </w:r>
            <w:r w:rsidRPr="00A9338B">
              <w:rPr>
                <w:rFonts w:ascii="Calibri Light" w:hAnsi="Calibri Light" w:cs="Calibri Light"/>
                <w:sz w:val="20"/>
                <w:szCs w:val="20"/>
                <w:lang w:val="lt-LT"/>
              </w:rPr>
              <w:t xml:space="preserve">kad </w:t>
            </w:r>
            <w:r>
              <w:rPr>
                <w:rFonts w:ascii="Calibri Light" w:hAnsi="Calibri Light" w:cs="Calibri Light"/>
                <w:sz w:val="20"/>
                <w:szCs w:val="20"/>
                <w:lang w:val="lt-LT"/>
              </w:rPr>
              <w:t xml:space="preserve">siūlomos </w:t>
            </w:r>
            <w:r w:rsidRPr="002B475A">
              <w:rPr>
                <w:rFonts w:ascii="Calibri Light" w:hAnsi="Calibri Light" w:cs="Calibri Light"/>
                <w:sz w:val="20"/>
                <w:szCs w:val="20"/>
                <w:lang w:val="lt-LT"/>
              </w:rPr>
              <w:t>paslaugos</w:t>
            </w:r>
            <w:r w:rsidRPr="006932F3">
              <w:rPr>
                <w:rFonts w:ascii="Calibri Light" w:hAnsi="Calibri Light" w:cs="Calibri Light"/>
                <w:color w:val="FF0000"/>
                <w:sz w:val="20"/>
                <w:szCs w:val="20"/>
                <w:lang w:val="lt-LT"/>
              </w:rPr>
              <w:t xml:space="preserve"> </w:t>
            </w:r>
            <w:r>
              <w:rPr>
                <w:rFonts w:ascii="Calibri Light" w:hAnsi="Calibri Light" w:cs="Calibri Light"/>
                <w:sz w:val="20"/>
                <w:szCs w:val="20"/>
                <w:lang w:val="lt-LT"/>
              </w:rPr>
              <w:t>ne</w:t>
            </w:r>
            <w:r w:rsidRPr="00A9338B">
              <w:rPr>
                <w:rFonts w:ascii="Calibri Light" w:hAnsi="Calibri Light" w:cs="Calibri Light"/>
                <w:sz w:val="20"/>
                <w:szCs w:val="20"/>
                <w:lang w:val="lt-LT"/>
              </w:rPr>
              <w:t>kelia grėsm</w:t>
            </w:r>
            <w:r>
              <w:rPr>
                <w:rFonts w:ascii="Calibri Light" w:hAnsi="Calibri Light" w:cs="Calibri Light"/>
                <w:sz w:val="20"/>
                <w:szCs w:val="20"/>
                <w:lang w:val="lt-LT"/>
              </w:rPr>
              <w:t>ės</w:t>
            </w:r>
            <w:r w:rsidRPr="00A9338B">
              <w:rPr>
                <w:rFonts w:ascii="Calibri Light" w:hAnsi="Calibri Light" w:cs="Calibri Light"/>
                <w:sz w:val="20"/>
                <w:szCs w:val="20"/>
                <w:lang w:val="lt-LT"/>
              </w:rPr>
              <w:t xml:space="preserve"> nacionaliniam saugumui, </w:t>
            </w:r>
            <w:r>
              <w:rPr>
                <w:rFonts w:ascii="Calibri Light" w:hAnsi="Calibri Light" w:cs="Calibri Light"/>
                <w:sz w:val="20"/>
                <w:szCs w:val="20"/>
                <w:lang w:val="lt-LT"/>
              </w:rPr>
              <w:t>nėra toliau nurodytų aplinkybių</w:t>
            </w:r>
            <w:r w:rsidRPr="00A9338B">
              <w:rPr>
                <w:rFonts w:ascii="Calibri Light" w:hAnsi="Calibri Light" w:cs="Calibri Light"/>
                <w:sz w:val="20"/>
                <w:szCs w:val="20"/>
                <w:lang w:val="lt-LT"/>
              </w:rPr>
              <w:t xml:space="preserve">: </w:t>
            </w:r>
          </w:p>
          <w:p w14:paraId="1A83E4EA" w14:textId="4A7AE0C8" w:rsidR="002B475A" w:rsidRDefault="002B475A" w:rsidP="009D29FF">
            <w:pPr>
              <w:spacing w:before="60" w:after="60"/>
              <w:rPr>
                <w:rFonts w:ascii="Calibri Light" w:hAnsi="Calibri Light" w:cs="Calibri Light"/>
                <w:sz w:val="20"/>
                <w:szCs w:val="20"/>
                <w:lang w:val="lt-LT"/>
              </w:rPr>
            </w:pPr>
            <w:r w:rsidRPr="002B475A">
              <w:rPr>
                <w:rFonts w:ascii="Calibri Light" w:hAnsi="Calibri Light" w:cs="Calibri Light"/>
                <w:sz w:val="20"/>
                <w:szCs w:val="20"/>
                <w:lang w:val="lt-LT"/>
              </w:rPr>
              <w:t>paslaugų</w:t>
            </w:r>
            <w:r>
              <w:rPr>
                <w:rFonts w:ascii="Calibri Light" w:hAnsi="Calibri Light" w:cs="Calibri Light"/>
                <w:sz w:val="20"/>
                <w:szCs w:val="20"/>
                <w:lang w:val="lt-LT"/>
              </w:rPr>
              <w:t xml:space="preserve"> teikimas</w:t>
            </w:r>
            <w:r w:rsidRPr="00A9338B">
              <w:rPr>
                <w:rFonts w:ascii="Calibri Light" w:hAnsi="Calibri Light" w:cs="Calibri Light"/>
                <w:sz w:val="20"/>
                <w:szCs w:val="20"/>
                <w:lang w:val="lt-LT"/>
              </w:rPr>
              <w:t xml:space="preserve"> būtų vykdomas iš VPĮ 92 straipsnio 14 dalyje numatytame sąraše nurodytų valstybių ar teritorijų.</w:t>
            </w:r>
          </w:p>
          <w:p w14:paraId="50F198B5" w14:textId="77777777" w:rsidR="002B475A" w:rsidRDefault="002B475A" w:rsidP="009D29FF">
            <w:pPr>
              <w:spacing w:before="60" w:after="60"/>
              <w:rPr>
                <w:rFonts w:ascii="Calibri Light" w:hAnsi="Calibri Light" w:cs="Calibri Light"/>
                <w:b/>
                <w:sz w:val="20"/>
                <w:szCs w:val="20"/>
                <w:lang w:val="lt-LT"/>
              </w:rPr>
            </w:pPr>
            <w:r>
              <w:rPr>
                <w:rFonts w:ascii="Calibri Light" w:hAnsi="Calibri Light" w:cs="Calibri Light"/>
                <w:b/>
                <w:sz w:val="20"/>
                <w:szCs w:val="20"/>
                <w:lang w:val="lt-LT"/>
              </w:rPr>
              <w:t>Perkančioji organizacija</w:t>
            </w:r>
            <w:r w:rsidRPr="005B681B">
              <w:rPr>
                <w:rFonts w:ascii="Calibri Light" w:hAnsi="Calibri Light" w:cs="Calibri Light"/>
                <w:b/>
                <w:sz w:val="20"/>
                <w:szCs w:val="20"/>
                <w:lang w:val="lt-LT"/>
              </w:rPr>
              <w:t xml:space="preserve"> </w:t>
            </w:r>
            <w:r>
              <w:rPr>
                <w:rFonts w:ascii="Calibri Light" w:hAnsi="Calibri Light" w:cs="Calibri Light"/>
                <w:b/>
                <w:sz w:val="20"/>
                <w:szCs w:val="20"/>
                <w:lang w:val="lt-LT"/>
              </w:rPr>
              <w:t>pasiūlymo atitikčiai LR viešųjų pirkimų įstatymo</w:t>
            </w:r>
            <w:r w:rsidRPr="005B681B">
              <w:rPr>
                <w:rFonts w:ascii="Calibri Light" w:hAnsi="Calibri Light" w:cs="Calibri Light"/>
                <w:b/>
                <w:sz w:val="20"/>
                <w:szCs w:val="20"/>
                <w:lang w:val="lt-LT"/>
              </w:rPr>
              <w:t xml:space="preserve"> 37 straipsnio 9 dalies reikalavimams</w:t>
            </w:r>
            <w:r>
              <w:rPr>
                <w:rFonts w:ascii="Calibri Light" w:hAnsi="Calibri Light" w:cs="Calibri Light"/>
                <w:b/>
                <w:sz w:val="20"/>
                <w:szCs w:val="20"/>
                <w:lang w:val="lt-LT"/>
              </w:rPr>
              <w:t xml:space="preserve"> patvirtinti</w:t>
            </w:r>
            <w:r w:rsidRPr="005B681B">
              <w:rPr>
                <w:rFonts w:ascii="Calibri Light" w:hAnsi="Calibri Light" w:cs="Calibri Light"/>
                <w:b/>
                <w:sz w:val="20"/>
                <w:szCs w:val="20"/>
                <w:lang w:val="lt-LT"/>
              </w:rPr>
              <w:t xml:space="preserve"> iš tiekėjo reikalauja</w:t>
            </w:r>
            <w:r w:rsidRPr="00DB7DFF">
              <w:rPr>
                <w:rFonts w:ascii="Calibri Light" w:hAnsi="Calibri Light" w:cs="Calibri Light"/>
                <w:b/>
                <w:sz w:val="20"/>
                <w:szCs w:val="20"/>
                <w:lang w:val="lt-LT"/>
              </w:rPr>
              <w:t xml:space="preserve">  </w:t>
            </w:r>
            <w:r w:rsidRPr="00DB7DFF">
              <w:rPr>
                <w:rFonts w:ascii="Calibri Light" w:hAnsi="Calibri Light" w:cs="Calibri Light"/>
                <w:b/>
                <w:bCs/>
                <w:sz w:val="20"/>
                <w:szCs w:val="20"/>
                <w:lang w:val="lt-LT"/>
              </w:rPr>
              <w:t>KARTU SU PASIŪLYMU</w:t>
            </w:r>
            <w:r w:rsidRPr="00E322C4">
              <w:rPr>
                <w:rFonts w:ascii="Calibri Light" w:hAnsi="Calibri Light" w:cs="Calibri Light"/>
                <w:sz w:val="20"/>
                <w:szCs w:val="20"/>
                <w:lang w:val="lt-LT"/>
              </w:rPr>
              <w:t xml:space="preserve"> </w:t>
            </w:r>
            <w:r w:rsidRPr="00E322C4">
              <w:rPr>
                <w:rFonts w:ascii="Calibri Light" w:hAnsi="Calibri Light" w:cs="Calibri Light"/>
                <w:b/>
                <w:bCs/>
                <w:sz w:val="20"/>
                <w:szCs w:val="20"/>
                <w:lang w:val="lt-LT"/>
              </w:rPr>
              <w:t>PATEIKTI</w:t>
            </w:r>
            <w:r>
              <w:rPr>
                <w:rFonts w:ascii="Calibri Light" w:hAnsi="Calibri Light" w:cs="Calibri Light"/>
                <w:b/>
                <w:bCs/>
                <w:sz w:val="20"/>
                <w:szCs w:val="20"/>
                <w:lang w:val="lt-LT"/>
              </w:rPr>
              <w:t xml:space="preserve"> </w:t>
            </w:r>
            <w:r w:rsidRPr="00E322C4">
              <w:rPr>
                <w:rFonts w:ascii="Calibri Light" w:hAnsi="Calibri Light" w:cs="Calibri Light"/>
                <w:b/>
                <w:bCs/>
                <w:sz w:val="20"/>
                <w:szCs w:val="20"/>
                <w:lang w:val="lt-LT"/>
              </w:rPr>
              <w:t>užpildytą pirkimo dokumentą</w:t>
            </w:r>
            <w:r>
              <w:rPr>
                <w:rFonts w:ascii="Calibri Light" w:hAnsi="Calibri Light" w:cs="Calibri Light"/>
                <w:b/>
                <w:bCs/>
                <w:sz w:val="20"/>
                <w:szCs w:val="20"/>
                <w:lang w:val="lt-LT"/>
              </w:rPr>
              <w:t xml:space="preserve"> „Nacionalinio saugumo reikalavimų atitikties deklaracija“</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(8</w:t>
            </w:r>
            <w:r w:rsidRPr="00E322C4">
              <w:rPr>
                <w:rFonts w:ascii="Calibri Light" w:hAnsi="Calibri Light" w:cs="Calibri Light"/>
                <w:b/>
                <w:bCs/>
                <w:sz w:val="20"/>
                <w:szCs w:val="20"/>
                <w:lang w:val="lt-LT"/>
              </w:rPr>
              <w:t xml:space="preserve"> </w:t>
            </w:r>
            <w:r>
              <w:rPr>
                <w:rFonts w:ascii="Calibri Light" w:hAnsi="Calibri Light" w:cs="Calibri Light"/>
                <w:b/>
                <w:bCs/>
                <w:sz w:val="20"/>
                <w:szCs w:val="20"/>
                <w:lang w:val="lt-LT"/>
              </w:rPr>
              <w:t>IA</w:t>
            </w:r>
            <w:r w:rsidRPr="00E322C4">
              <w:rPr>
                <w:rFonts w:ascii="Calibri Light" w:hAnsi="Calibri Light" w:cs="Calibri Light"/>
                <w:b/>
                <w:bCs/>
                <w:sz w:val="20"/>
                <w:szCs w:val="20"/>
                <w:lang w:val="lt-LT"/>
              </w:rPr>
              <w:t xml:space="preserve"> PD </w:t>
            </w:r>
            <w:r>
              <w:rPr>
                <w:rFonts w:ascii="Calibri Light" w:hAnsi="Calibri Light" w:cs="Calibri Light"/>
                <w:b/>
                <w:bCs/>
                <w:sz w:val="20"/>
                <w:szCs w:val="20"/>
                <w:lang w:val="lt-LT"/>
              </w:rPr>
              <w:t xml:space="preserve">ATITIKTIES DEKLARACIJA), </w:t>
            </w:r>
            <w:r w:rsidRPr="005B681B">
              <w:rPr>
                <w:rFonts w:ascii="Calibri Light" w:hAnsi="Calibri Light" w:cs="Calibri Light"/>
                <w:b/>
                <w:bCs/>
                <w:sz w:val="20"/>
                <w:szCs w:val="20"/>
                <w:lang w:val="lt-LT"/>
              </w:rPr>
              <w:t xml:space="preserve">o iš ekonomiškai naudingiausią pasiūlymą pateikusio tiekėjo </w:t>
            </w:r>
            <w:r>
              <w:rPr>
                <w:rFonts w:ascii="Calibri Light" w:hAnsi="Calibri Light" w:cs="Calibri Light"/>
                <w:b/>
                <w:bCs/>
                <w:sz w:val="20"/>
                <w:szCs w:val="20"/>
                <w:lang w:val="lt-LT"/>
              </w:rPr>
              <w:t>reikalaus pateikti (</w:t>
            </w:r>
            <w:r w:rsidRPr="00E81687">
              <w:rPr>
                <w:rFonts w:ascii="Calibri Light" w:hAnsi="Calibri Light" w:cs="Calibri Light"/>
                <w:b/>
                <w:bCs/>
                <w:sz w:val="20"/>
                <w:szCs w:val="20"/>
                <w:u w:val="single"/>
                <w:lang w:val="lt-LT"/>
              </w:rPr>
              <w:t>kartu su pasiūlymu šių dokumentų tiekėjas pateikti neturi</w:t>
            </w:r>
            <w:r>
              <w:rPr>
                <w:rFonts w:ascii="Calibri Light" w:hAnsi="Calibri Light" w:cs="Calibri Light"/>
                <w:b/>
                <w:bCs/>
                <w:sz w:val="20"/>
                <w:szCs w:val="20"/>
                <w:lang w:val="lt-LT"/>
              </w:rPr>
              <w:t xml:space="preserve">) </w:t>
            </w:r>
            <w:r w:rsidRPr="005B681B">
              <w:rPr>
                <w:rFonts w:ascii="Calibri Light" w:hAnsi="Calibri Light" w:cs="Calibri Light"/>
                <w:b/>
                <w:bCs/>
                <w:sz w:val="20"/>
                <w:szCs w:val="20"/>
                <w:lang w:val="lt-LT"/>
              </w:rPr>
              <w:t>– vieną ar kelis šiuos dokumentus</w:t>
            </w:r>
            <w:r>
              <w:rPr>
                <w:rFonts w:ascii="Calibri Light" w:hAnsi="Calibri Light" w:cs="Calibri Light"/>
                <w:b/>
                <w:bCs/>
                <w:sz w:val="20"/>
                <w:szCs w:val="20"/>
                <w:lang w:val="lt-LT"/>
              </w:rPr>
              <w:t>**</w:t>
            </w:r>
            <w:r w:rsidRPr="005B681B">
              <w:rPr>
                <w:rFonts w:ascii="Calibri Light" w:hAnsi="Calibri Light" w:cs="Calibri Light"/>
                <w:b/>
                <w:bCs/>
                <w:sz w:val="20"/>
                <w:szCs w:val="20"/>
                <w:lang w:val="lt-LT"/>
              </w:rPr>
              <w:t xml:space="preserve">: </w:t>
            </w:r>
            <w:r w:rsidRPr="005B681B">
              <w:rPr>
                <w:rFonts w:ascii="Calibri Light" w:hAnsi="Calibri Light" w:cs="Calibri Light"/>
                <w:b/>
                <w:sz w:val="20"/>
                <w:szCs w:val="20"/>
                <w:lang w:val="lt-LT"/>
              </w:rPr>
              <w:t xml:space="preserve">juridinio asmens vadovo </w:t>
            </w:r>
            <w:r w:rsidRPr="005B681B">
              <w:rPr>
                <w:rFonts w:ascii="Calibri Light" w:hAnsi="Calibri Light" w:cs="Calibri Light"/>
                <w:b/>
                <w:bCs/>
                <w:sz w:val="20"/>
                <w:szCs w:val="20"/>
                <w:lang w:val="lt-LT"/>
              </w:rPr>
              <w:t>patvirtintą</w:t>
            </w:r>
            <w:r w:rsidRPr="005B681B">
              <w:rPr>
                <w:rFonts w:ascii="Calibri Light" w:hAnsi="Calibri Light" w:cs="Calibri Light"/>
                <w:b/>
                <w:sz w:val="20"/>
                <w:szCs w:val="20"/>
                <w:lang w:val="lt-LT"/>
              </w:rPr>
              <w:t xml:space="preserve"> juridinio asmens steigimo dokumentų </w:t>
            </w:r>
            <w:r w:rsidRPr="005B681B">
              <w:rPr>
                <w:rFonts w:ascii="Calibri Light" w:hAnsi="Calibri Light" w:cs="Calibri Light"/>
                <w:b/>
                <w:bCs/>
                <w:sz w:val="20"/>
                <w:szCs w:val="20"/>
                <w:lang w:val="lt-LT"/>
              </w:rPr>
              <w:t>kopiją</w:t>
            </w:r>
            <w:r w:rsidRPr="005B681B">
              <w:rPr>
                <w:rFonts w:ascii="Calibri Light" w:hAnsi="Calibri Light" w:cs="Calibri Light"/>
                <w:b/>
                <w:sz w:val="20"/>
                <w:szCs w:val="20"/>
                <w:lang w:val="lt-LT"/>
              </w:rPr>
              <w:t xml:space="preserve">, Juridinių asmenų registro </w:t>
            </w:r>
            <w:r w:rsidRPr="005B681B">
              <w:rPr>
                <w:rFonts w:ascii="Calibri Light" w:hAnsi="Calibri Light" w:cs="Calibri Light"/>
                <w:b/>
                <w:bCs/>
                <w:sz w:val="20"/>
                <w:szCs w:val="20"/>
                <w:lang w:val="lt-LT"/>
              </w:rPr>
              <w:t>išplėstinį išrašą</w:t>
            </w:r>
            <w:r w:rsidRPr="005B681B">
              <w:rPr>
                <w:rFonts w:ascii="Calibri Light" w:hAnsi="Calibri Light" w:cs="Calibri Light"/>
                <w:b/>
                <w:sz w:val="20"/>
                <w:szCs w:val="20"/>
                <w:lang w:val="lt-LT"/>
              </w:rPr>
              <w:t xml:space="preserve"> su istorija, </w:t>
            </w:r>
            <w:r w:rsidRPr="005B681B">
              <w:rPr>
                <w:rFonts w:ascii="Calibri Light" w:hAnsi="Calibri Light" w:cs="Calibri Light"/>
                <w:b/>
                <w:bCs/>
                <w:sz w:val="20"/>
                <w:szCs w:val="20"/>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5B681B">
              <w:rPr>
                <w:rFonts w:ascii="Calibri Light" w:hAnsi="Calibri Light" w:cs="Calibri Light"/>
                <w:b/>
                <w:sz w:val="20"/>
                <w:szCs w:val="20"/>
                <w:lang w:val="lt-LT"/>
              </w:rPr>
              <w:t xml:space="preserve"> arba </w:t>
            </w:r>
            <w:r w:rsidRPr="005B681B">
              <w:rPr>
                <w:rFonts w:ascii="Calibri Light" w:hAnsi="Calibri Light" w:cs="Calibri Light"/>
                <w:b/>
                <w:bCs/>
                <w:sz w:val="20"/>
                <w:szCs w:val="20"/>
                <w:lang w:val="lt-LT"/>
              </w:rPr>
              <w:t xml:space="preserve">atitinkamus </w:t>
            </w:r>
            <w:r w:rsidRPr="005B681B">
              <w:rPr>
                <w:rFonts w:ascii="Calibri Light" w:hAnsi="Calibri Light" w:cs="Calibri Light"/>
                <w:b/>
                <w:sz w:val="20"/>
                <w:szCs w:val="20"/>
                <w:lang w:val="lt-LT"/>
              </w:rPr>
              <w:t xml:space="preserve">valstybės narės ar trečiosios šalies </w:t>
            </w:r>
            <w:r w:rsidRPr="005B681B">
              <w:rPr>
                <w:rFonts w:ascii="Calibri Light" w:hAnsi="Calibri Light" w:cs="Calibri Light"/>
                <w:b/>
                <w:bCs/>
                <w:sz w:val="20"/>
                <w:szCs w:val="20"/>
                <w:lang w:val="lt-LT"/>
              </w:rPr>
              <w:t>dokumentus, ar kitus perkančiajai organizacijai priimtinus dokumentus</w:t>
            </w:r>
            <w:r>
              <w:rPr>
                <w:rFonts w:ascii="Calibri Light" w:hAnsi="Calibri Light" w:cs="Calibri Light"/>
                <w:b/>
                <w:sz w:val="20"/>
                <w:szCs w:val="20"/>
                <w:lang w:val="lt-LT"/>
              </w:rPr>
              <w:t>.</w:t>
            </w:r>
          </w:p>
          <w:p w14:paraId="5F7C3E54" w14:textId="77777777" w:rsidR="002B475A" w:rsidRPr="003B7395" w:rsidRDefault="002B475A" w:rsidP="009D29FF">
            <w:pPr>
              <w:spacing w:before="60" w:after="60"/>
              <w:rPr>
                <w:rFonts w:ascii="Calibri Light" w:hAnsi="Calibri Light" w:cs="Calibri Light"/>
                <w:b/>
                <w:sz w:val="20"/>
                <w:szCs w:val="20"/>
                <w:lang w:val="lt-LT"/>
              </w:rPr>
            </w:pPr>
            <w:r w:rsidRPr="003B7395">
              <w:rPr>
                <w:rFonts w:ascii="Calibri Light" w:hAnsi="Calibri Light" w:cs="Calibri Light"/>
                <w:b/>
                <w:sz w:val="20"/>
                <w:szCs w:val="20"/>
                <w:lang w:val="lt-LT"/>
              </w:rPr>
              <w:t>P</w:t>
            </w:r>
            <w:r>
              <w:rPr>
                <w:rFonts w:ascii="Calibri Light" w:hAnsi="Calibri Light" w:cs="Calibri Light"/>
                <w:b/>
                <w:sz w:val="20"/>
                <w:szCs w:val="20"/>
                <w:lang w:val="lt-LT"/>
              </w:rPr>
              <w:t>astabos:</w:t>
            </w:r>
          </w:p>
          <w:p w14:paraId="3C700FE8" w14:textId="77777777" w:rsidR="002B475A" w:rsidRDefault="002B475A" w:rsidP="009D29FF">
            <w:pPr>
              <w:spacing w:before="60" w:after="60"/>
              <w:rPr>
                <w:rFonts w:ascii="Calibri Light" w:hAnsi="Calibri Light" w:cs="Calibri Light"/>
                <w:bCs/>
                <w:sz w:val="20"/>
                <w:szCs w:val="20"/>
                <w:lang w:val="lt-LT"/>
              </w:rPr>
            </w:pP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rFonts w:ascii="Calibri Light" w:hAnsi="Calibri Light" w:cs="Calibri Light"/>
                <w:bCs/>
                <w:sz w:val="20"/>
                <w:szCs w:val="20"/>
                <w:lang w:val="lt-LT"/>
              </w:rPr>
              <w:t>aukščiau nurodytas reikalavimas (VPĮ</w:t>
            </w:r>
            <w:r w:rsidRPr="00893188">
              <w:rPr>
                <w:rFonts w:ascii="Calibri Light" w:hAnsi="Calibri Light" w:cs="Calibri Light"/>
                <w:bCs/>
                <w:sz w:val="20"/>
                <w:szCs w:val="20"/>
                <w:lang w:val="lt-LT"/>
              </w:rPr>
              <w:t xml:space="preserve"> 37 straipsnio 9 dalis</w:t>
            </w:r>
            <w:r>
              <w:rPr>
                <w:rFonts w:ascii="Calibri Light" w:hAnsi="Calibri Light" w:cs="Calibri Light"/>
                <w:bCs/>
                <w:sz w:val="20"/>
                <w:szCs w:val="20"/>
                <w:lang w:val="lt-LT"/>
              </w:rPr>
              <w:t>)</w:t>
            </w:r>
            <w:r w:rsidRPr="00893188">
              <w:rPr>
                <w:rFonts w:ascii="Calibri Light" w:hAnsi="Calibri Light" w:cs="Calibri Light"/>
                <w:bCs/>
                <w:sz w:val="20"/>
                <w:szCs w:val="20"/>
                <w:lang w:val="lt-LT"/>
              </w:rPr>
              <w:t xml:space="preserve"> yra netaikom</w:t>
            </w:r>
            <w:r>
              <w:rPr>
                <w:rFonts w:ascii="Calibri Light" w:hAnsi="Calibri Light" w:cs="Calibri Light"/>
                <w:bCs/>
                <w:sz w:val="20"/>
                <w:szCs w:val="20"/>
                <w:lang w:val="lt-LT"/>
              </w:rPr>
              <w:t>as.</w:t>
            </w:r>
          </w:p>
          <w:p w14:paraId="321F06A2" w14:textId="77777777" w:rsidR="002B475A" w:rsidRDefault="002B475A" w:rsidP="009D29FF">
            <w:pPr>
              <w:spacing w:before="60" w:after="60"/>
              <w:rPr>
                <w:rFonts w:ascii="Calibri Light" w:hAnsi="Calibri Light" w:cs="Calibri Light"/>
                <w:sz w:val="20"/>
                <w:szCs w:val="20"/>
                <w:lang w:val="lt-LT"/>
              </w:rPr>
            </w:pPr>
            <w:r>
              <w:rPr>
                <w:rFonts w:ascii="Calibri Light" w:hAnsi="Calibri Light" w:cs="Calibri Light"/>
                <w:bCs/>
                <w:sz w:val="20"/>
                <w:szCs w:val="20"/>
                <w:lang w:val="lt-LT"/>
              </w:rPr>
              <w:t>**</w:t>
            </w:r>
            <w:r w:rsidRPr="000420DD">
              <w:rPr>
                <w:rFonts w:ascii="Calibri Light" w:hAnsi="Calibri Light" w:cs="Calibri Light"/>
                <w:bCs/>
                <w:sz w:val="20"/>
                <w:szCs w:val="20"/>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0420DD">
              <w:rPr>
                <w:rFonts w:ascii="Calibri Light" w:hAnsi="Calibri Light" w:cs="Calibri Light"/>
                <w:sz w:val="20"/>
                <w:szCs w:val="20"/>
                <w:lang w:val="lt-LT"/>
              </w:rPr>
              <w:t>.</w:t>
            </w:r>
          </w:p>
          <w:p w14:paraId="6B4E3609" w14:textId="77777777" w:rsidR="002B475A" w:rsidRDefault="002B475A" w:rsidP="009D29FF">
            <w:pPr>
              <w:spacing w:before="60" w:after="60"/>
              <w:rPr>
                <w:rFonts w:ascii="Calibri Light" w:hAnsi="Calibri Light" w:cs="Calibri Light"/>
                <w:b/>
                <w:sz w:val="20"/>
                <w:szCs w:val="20"/>
                <w:lang w:val="lt-LT"/>
              </w:rPr>
            </w:pPr>
          </w:p>
        </w:tc>
      </w:tr>
    </w:tbl>
    <w:p w14:paraId="46D15799" w14:textId="77777777" w:rsidR="00A1293E" w:rsidRDefault="00A1293E" w:rsidP="006261B3">
      <w:pPr>
        <w:spacing w:after="0" w:line="240" w:lineRule="auto"/>
        <w:jc w:val="center"/>
        <w:rPr>
          <w:rFonts w:ascii="Times New Roman" w:hAnsi="Times New Roman" w:cs="Times New Roman"/>
          <w:b/>
          <w:color w:val="000000"/>
          <w:sz w:val="24"/>
          <w:szCs w:val="24"/>
          <w:lang w:val="lt-LT"/>
        </w:rPr>
      </w:pPr>
    </w:p>
    <w:p w14:paraId="595B0297" w14:textId="77777777" w:rsidR="00A1293E" w:rsidRPr="006261B3" w:rsidRDefault="00A1293E" w:rsidP="006261B3">
      <w:pPr>
        <w:spacing w:after="0" w:line="240" w:lineRule="auto"/>
        <w:jc w:val="center"/>
        <w:rPr>
          <w:rFonts w:ascii="Times New Roman" w:hAnsi="Times New Roman" w:cs="Times New Roman"/>
          <w:b/>
          <w:color w:val="000000"/>
          <w:sz w:val="24"/>
          <w:szCs w:val="24"/>
          <w:lang w:val="lt-LT"/>
        </w:rPr>
      </w:pPr>
    </w:p>
    <w:p w14:paraId="2A2482D2" w14:textId="70E6581C" w:rsidR="00222BED" w:rsidRPr="006261B3" w:rsidRDefault="00222BED" w:rsidP="006261B3">
      <w:pPr>
        <w:numPr>
          <w:ilvl w:val="0"/>
          <w:numId w:val="40"/>
        </w:numPr>
        <w:spacing w:after="0" w:line="240" w:lineRule="auto"/>
        <w:ind w:left="0" w:firstLine="720"/>
        <w:jc w:val="center"/>
        <w:rPr>
          <w:rFonts w:ascii="Times New Roman" w:hAnsi="Times New Roman" w:cs="Times New Roman"/>
          <w:b/>
          <w:sz w:val="24"/>
          <w:szCs w:val="24"/>
          <w:lang w:val="lt-LT"/>
        </w:rPr>
      </w:pPr>
      <w:r w:rsidRPr="006261B3">
        <w:rPr>
          <w:rFonts w:ascii="Times New Roman" w:hAnsi="Times New Roman" w:cs="Times New Roman"/>
          <w:b/>
          <w:sz w:val="24"/>
          <w:szCs w:val="24"/>
          <w:lang w:val="lt-LT"/>
        </w:rPr>
        <w:t>ĮŽANGA</w:t>
      </w:r>
    </w:p>
    <w:p w14:paraId="15AE2EAA" w14:textId="46914DF0" w:rsidR="00222BED" w:rsidRPr="006261B3" w:rsidRDefault="00222BED" w:rsidP="006261B3">
      <w:pPr>
        <w:numPr>
          <w:ilvl w:val="1"/>
          <w:numId w:val="40"/>
        </w:numPr>
        <w:tabs>
          <w:tab w:val="clear" w:pos="1000"/>
          <w:tab w:val="num" w:pos="-3686"/>
        </w:tabs>
        <w:spacing w:after="0" w:line="240" w:lineRule="auto"/>
        <w:ind w:left="0" w:firstLine="720"/>
        <w:rPr>
          <w:rFonts w:ascii="Times New Roman" w:hAnsi="Times New Roman" w:cs="Times New Roman"/>
          <w:b/>
          <w:sz w:val="24"/>
          <w:szCs w:val="24"/>
          <w:lang w:val="lt-LT"/>
        </w:rPr>
      </w:pPr>
      <w:bookmarkStart w:id="17" w:name="_Toc279484874"/>
      <w:bookmarkStart w:id="18" w:name="_Toc323206044"/>
      <w:bookmarkStart w:id="19" w:name="_Toc328146447"/>
      <w:bookmarkStart w:id="20" w:name="_Toc357713741"/>
      <w:bookmarkStart w:id="21" w:name="_Toc361689024"/>
      <w:r w:rsidRPr="006261B3">
        <w:rPr>
          <w:rFonts w:ascii="Times New Roman" w:hAnsi="Times New Roman" w:cs="Times New Roman"/>
          <w:b/>
          <w:sz w:val="24"/>
          <w:szCs w:val="24"/>
          <w:lang w:val="lt-LT"/>
        </w:rPr>
        <w:t>Dokumento paskirtis</w:t>
      </w:r>
      <w:bookmarkEnd w:id="17"/>
      <w:bookmarkEnd w:id="18"/>
      <w:bookmarkEnd w:id="19"/>
      <w:bookmarkEnd w:id="20"/>
      <w:bookmarkEnd w:id="21"/>
    </w:p>
    <w:p w14:paraId="5640F477"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Dokumentas „Techninė specifikacija“ parengtas siekiant aprašyti ir apibrėžti principus bei reikalavimus, keliamus SPOC (Bendrojo ryšių palaikymo punkto) sistemos priežiūros įgyvendinimui.</w:t>
      </w:r>
    </w:p>
    <w:p w14:paraId="3F9165D6" w14:textId="4F67D5CA"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Šiame dokumente aprašomi atviro konkurso „SPOC sistemos priežiūros“ reikalavimai.</w:t>
      </w:r>
    </w:p>
    <w:p w14:paraId="40BC758D" w14:textId="729F62BE" w:rsidR="00222BED" w:rsidRPr="006261B3" w:rsidRDefault="00222BED" w:rsidP="006261B3">
      <w:pPr>
        <w:pStyle w:val="Pagrindiniotekstotrauka"/>
        <w:numPr>
          <w:ilvl w:val="1"/>
          <w:numId w:val="40"/>
        </w:numPr>
        <w:tabs>
          <w:tab w:val="clear" w:pos="1000"/>
          <w:tab w:val="num" w:pos="792"/>
        </w:tabs>
        <w:spacing w:after="0" w:line="240" w:lineRule="auto"/>
        <w:ind w:left="0" w:right="-2" w:firstLine="720"/>
        <w:jc w:val="left"/>
        <w:rPr>
          <w:rFonts w:ascii="Times New Roman" w:hAnsi="Times New Roman" w:cs="Times New Roman"/>
          <w:b/>
          <w:sz w:val="24"/>
          <w:szCs w:val="24"/>
          <w:lang w:val="lt-LT"/>
        </w:rPr>
      </w:pPr>
      <w:bookmarkStart w:id="22" w:name="_Toc279484875"/>
      <w:bookmarkStart w:id="23" w:name="_Toc323206045"/>
      <w:bookmarkStart w:id="24" w:name="_Toc328146448"/>
      <w:bookmarkStart w:id="25" w:name="_Toc357713742"/>
      <w:bookmarkStart w:id="26" w:name="_Toc361689025"/>
      <w:r w:rsidRPr="006261B3">
        <w:rPr>
          <w:rFonts w:ascii="Times New Roman" w:hAnsi="Times New Roman" w:cs="Times New Roman"/>
          <w:b/>
          <w:sz w:val="24"/>
          <w:szCs w:val="24"/>
          <w:lang w:val="lt-LT"/>
        </w:rPr>
        <w:t>Techninėje specifikacijoje panaudotos sąvokos</w:t>
      </w:r>
      <w:bookmarkEnd w:id="22"/>
      <w:bookmarkEnd w:id="23"/>
      <w:bookmarkEnd w:id="24"/>
      <w:bookmarkEnd w:id="25"/>
      <w:bookmarkEnd w:id="26"/>
    </w:p>
    <w:p w14:paraId="18F68009" w14:textId="77777777" w:rsidR="00222BED" w:rsidRPr="006261B3" w:rsidRDefault="00222BED" w:rsidP="006261B3">
      <w:pPr>
        <w:pStyle w:val="Pagrindiniotekstotrauka"/>
        <w:spacing w:after="0" w:line="240" w:lineRule="auto"/>
        <w:ind w:left="0" w:right="-2"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Apačioje esančioje lentelėje pateiktos Techninėje specifikacijoje panaudotos sąvokos ir trumpiniai:</w:t>
      </w:r>
    </w:p>
    <w:tbl>
      <w:tblPr>
        <w:tblpPr w:leftFromText="180" w:rightFromText="180" w:vertAnchor="text" w:horzAnchor="margin"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3"/>
        <w:gridCol w:w="8846"/>
      </w:tblGrid>
      <w:tr w:rsidR="00222BED" w:rsidRPr="006261B3" w14:paraId="13E6C2AA" w14:textId="77777777" w:rsidTr="001142B0">
        <w:trPr>
          <w:cantSplit/>
          <w:trHeight w:val="381"/>
          <w:tblHeader/>
        </w:trPr>
        <w:tc>
          <w:tcPr>
            <w:tcW w:w="722" w:type="pct"/>
            <w:shd w:val="clear" w:color="auto" w:fill="F2F2F2" w:themeFill="background1" w:themeFillShade="F2"/>
            <w:vAlign w:val="center"/>
          </w:tcPr>
          <w:p w14:paraId="439A9CA1" w14:textId="77777777" w:rsidR="00222BED" w:rsidRPr="006261B3" w:rsidRDefault="00222BED" w:rsidP="006261B3">
            <w:pPr>
              <w:pStyle w:val="Lentelsheaderis"/>
              <w:spacing w:before="0" w:after="0"/>
              <w:ind w:firstLine="720"/>
              <w:jc w:val="both"/>
              <w:rPr>
                <w:sz w:val="24"/>
                <w:szCs w:val="24"/>
                <w:lang w:val="lt-LT"/>
              </w:rPr>
            </w:pPr>
            <w:r w:rsidRPr="006261B3">
              <w:rPr>
                <w:sz w:val="24"/>
                <w:szCs w:val="24"/>
                <w:lang w:val="lt-LT"/>
              </w:rPr>
              <w:br w:type="page"/>
              <w:t>Sąvokos ir trumpiniai</w:t>
            </w:r>
          </w:p>
        </w:tc>
        <w:tc>
          <w:tcPr>
            <w:tcW w:w="4278" w:type="pct"/>
            <w:shd w:val="clear" w:color="auto" w:fill="F2F2F2" w:themeFill="background1" w:themeFillShade="F2"/>
            <w:vAlign w:val="center"/>
          </w:tcPr>
          <w:p w14:paraId="1D77B1A5" w14:textId="77777777" w:rsidR="00222BED" w:rsidRPr="006261B3" w:rsidRDefault="00222BED" w:rsidP="006261B3">
            <w:pPr>
              <w:pStyle w:val="Lentelsheaderis"/>
              <w:spacing w:before="0" w:after="0"/>
              <w:ind w:firstLine="720"/>
              <w:rPr>
                <w:sz w:val="24"/>
                <w:szCs w:val="24"/>
                <w:lang w:val="lt-LT"/>
              </w:rPr>
            </w:pPr>
            <w:r w:rsidRPr="006261B3">
              <w:rPr>
                <w:sz w:val="24"/>
                <w:szCs w:val="24"/>
                <w:lang w:val="lt-LT"/>
              </w:rPr>
              <w:t>Paaiškinimas</w:t>
            </w:r>
          </w:p>
        </w:tc>
      </w:tr>
      <w:tr w:rsidR="00222BED" w:rsidRPr="006261B3" w14:paraId="104DEDFF" w14:textId="77777777" w:rsidTr="001142B0">
        <w:trPr>
          <w:cantSplit/>
          <w:trHeight w:val="381"/>
        </w:trPr>
        <w:tc>
          <w:tcPr>
            <w:tcW w:w="722" w:type="pct"/>
            <w:tcBorders>
              <w:top w:val="single" w:sz="4" w:space="0" w:color="auto"/>
              <w:left w:val="single" w:sz="4" w:space="0" w:color="auto"/>
              <w:bottom w:val="single" w:sz="4" w:space="0" w:color="auto"/>
              <w:right w:val="single" w:sz="4" w:space="0" w:color="auto"/>
            </w:tcBorders>
            <w:vAlign w:val="center"/>
          </w:tcPr>
          <w:p w14:paraId="16C69E52" w14:textId="737BA19A"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 xml:space="preserve">Perkančioji organizacija, </w:t>
            </w:r>
            <w:r w:rsidR="006261B3" w:rsidRPr="006261B3">
              <w:rPr>
                <w:b w:val="0"/>
                <w:sz w:val="24"/>
                <w:szCs w:val="24"/>
                <w:lang w:val="lt-LT"/>
              </w:rPr>
              <w:t>Migracijos departamentas</w:t>
            </w:r>
          </w:p>
        </w:tc>
        <w:tc>
          <w:tcPr>
            <w:tcW w:w="4278" w:type="pct"/>
            <w:tcBorders>
              <w:top w:val="single" w:sz="4" w:space="0" w:color="auto"/>
              <w:left w:val="single" w:sz="4" w:space="0" w:color="auto"/>
              <w:bottom w:val="single" w:sz="4" w:space="0" w:color="auto"/>
              <w:right w:val="single" w:sz="4" w:space="0" w:color="auto"/>
            </w:tcBorders>
            <w:vAlign w:val="center"/>
          </w:tcPr>
          <w:p w14:paraId="5CB469DB" w14:textId="5FD57600" w:rsidR="00222BED" w:rsidRPr="006261B3" w:rsidRDefault="006261B3" w:rsidP="00351D4B">
            <w:pPr>
              <w:pStyle w:val="Lentelsheaderis"/>
              <w:spacing w:before="0" w:after="0"/>
              <w:jc w:val="left"/>
              <w:rPr>
                <w:b w:val="0"/>
                <w:sz w:val="24"/>
                <w:szCs w:val="24"/>
                <w:lang w:val="lt-LT"/>
              </w:rPr>
            </w:pPr>
            <w:r w:rsidRPr="006261B3">
              <w:rPr>
                <w:b w:val="0"/>
                <w:sz w:val="24"/>
                <w:szCs w:val="24"/>
                <w:lang w:val="lt-LT"/>
              </w:rPr>
              <w:t>Migracijos departamentas</w:t>
            </w:r>
            <w:r w:rsidR="00222BED" w:rsidRPr="006261B3">
              <w:rPr>
                <w:b w:val="0"/>
                <w:sz w:val="24"/>
                <w:szCs w:val="24"/>
                <w:lang w:val="lt-LT"/>
              </w:rPr>
              <w:t xml:space="preserve"> prie Lietuvos Respublikos vidaus reikalų ministerijos</w:t>
            </w:r>
          </w:p>
        </w:tc>
      </w:tr>
      <w:tr w:rsidR="00222BED" w:rsidRPr="006261B3" w14:paraId="1553BDB0" w14:textId="77777777" w:rsidTr="001142B0">
        <w:trPr>
          <w:cantSplit/>
          <w:trHeight w:val="381"/>
        </w:trPr>
        <w:tc>
          <w:tcPr>
            <w:tcW w:w="722" w:type="pct"/>
            <w:tcBorders>
              <w:top w:val="single" w:sz="4" w:space="0" w:color="auto"/>
              <w:left w:val="single" w:sz="4" w:space="0" w:color="auto"/>
              <w:bottom w:val="single" w:sz="4" w:space="0" w:color="auto"/>
              <w:right w:val="single" w:sz="4" w:space="0" w:color="auto"/>
            </w:tcBorders>
            <w:vAlign w:val="center"/>
          </w:tcPr>
          <w:p w14:paraId="18B017A5"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Paslaugų Teikėjas</w:t>
            </w:r>
          </w:p>
        </w:tc>
        <w:tc>
          <w:tcPr>
            <w:tcW w:w="4278" w:type="pct"/>
            <w:tcBorders>
              <w:top w:val="single" w:sz="4" w:space="0" w:color="auto"/>
              <w:left w:val="single" w:sz="4" w:space="0" w:color="auto"/>
              <w:bottom w:val="single" w:sz="4" w:space="0" w:color="auto"/>
              <w:right w:val="single" w:sz="4" w:space="0" w:color="auto"/>
            </w:tcBorders>
            <w:vAlign w:val="center"/>
          </w:tcPr>
          <w:p w14:paraId="3687DDC6"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Fizinis arba juridinis asmuo, kuris įgyvendina šios specifikacijos reikalavimus</w:t>
            </w:r>
          </w:p>
        </w:tc>
      </w:tr>
      <w:tr w:rsidR="00222BED" w:rsidRPr="006261B3" w14:paraId="72C1BF37" w14:textId="77777777" w:rsidTr="001142B0">
        <w:trPr>
          <w:cantSplit/>
          <w:trHeight w:val="381"/>
        </w:trPr>
        <w:tc>
          <w:tcPr>
            <w:tcW w:w="722" w:type="pct"/>
          </w:tcPr>
          <w:p w14:paraId="48A0CAB9"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BSI</w:t>
            </w:r>
          </w:p>
        </w:tc>
        <w:tc>
          <w:tcPr>
            <w:tcW w:w="4278" w:type="pct"/>
          </w:tcPr>
          <w:p w14:paraId="5B8E077A"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Federal Office for Information Security</w:t>
            </w:r>
          </w:p>
        </w:tc>
      </w:tr>
      <w:tr w:rsidR="00222BED" w:rsidRPr="006261B3" w14:paraId="22E30624" w14:textId="77777777" w:rsidTr="001142B0">
        <w:trPr>
          <w:cantSplit/>
          <w:trHeight w:val="381"/>
        </w:trPr>
        <w:tc>
          <w:tcPr>
            <w:tcW w:w="722" w:type="pct"/>
          </w:tcPr>
          <w:p w14:paraId="0DD19067"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CA</w:t>
            </w:r>
          </w:p>
        </w:tc>
        <w:tc>
          <w:tcPr>
            <w:tcW w:w="4278" w:type="pct"/>
          </w:tcPr>
          <w:p w14:paraId="3B9D76CA"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Sertifikavimo įstaiga (angl. Certification Authority)</w:t>
            </w:r>
          </w:p>
        </w:tc>
      </w:tr>
      <w:tr w:rsidR="00222BED" w:rsidRPr="006261B3" w14:paraId="44E4FDD8" w14:textId="77777777" w:rsidTr="001142B0">
        <w:trPr>
          <w:cantSplit/>
          <w:trHeight w:val="381"/>
        </w:trPr>
        <w:tc>
          <w:tcPr>
            <w:tcW w:w="722" w:type="pct"/>
          </w:tcPr>
          <w:p w14:paraId="7A6F55FC"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CR</w:t>
            </w:r>
          </w:p>
        </w:tc>
        <w:tc>
          <w:tcPr>
            <w:tcW w:w="4278" w:type="pct"/>
          </w:tcPr>
          <w:p w14:paraId="1C42AC9F"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Prašymas išduoti sertifikatą (angl. certificate request)</w:t>
            </w:r>
          </w:p>
        </w:tc>
      </w:tr>
      <w:tr w:rsidR="00222BED" w:rsidRPr="006261B3" w14:paraId="32FE6532" w14:textId="77777777" w:rsidTr="001142B0">
        <w:trPr>
          <w:cantSplit/>
          <w:trHeight w:val="381"/>
        </w:trPr>
        <w:tc>
          <w:tcPr>
            <w:tcW w:w="722" w:type="pct"/>
          </w:tcPr>
          <w:p w14:paraId="1FEB1625"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lastRenderedPageBreak/>
              <w:t>CRL</w:t>
            </w:r>
          </w:p>
        </w:tc>
        <w:tc>
          <w:tcPr>
            <w:tcW w:w="4278" w:type="pct"/>
          </w:tcPr>
          <w:p w14:paraId="18BD58A5"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Atšauktų/negaliojančių sertifikatų sąrašas (angl. Certificate Revocation List)</w:t>
            </w:r>
          </w:p>
        </w:tc>
      </w:tr>
      <w:tr w:rsidR="00222BED" w:rsidRPr="006261B3" w14:paraId="25ACDE15" w14:textId="77777777" w:rsidTr="001142B0">
        <w:trPr>
          <w:cantSplit/>
          <w:trHeight w:val="381"/>
        </w:trPr>
        <w:tc>
          <w:tcPr>
            <w:tcW w:w="722" w:type="pct"/>
          </w:tcPr>
          <w:p w14:paraId="647CEBEE"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CVCA</w:t>
            </w:r>
          </w:p>
        </w:tc>
        <w:tc>
          <w:tcPr>
            <w:tcW w:w="4278" w:type="pct"/>
          </w:tcPr>
          <w:p w14:paraId="2773EF37"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Atsakinga už patikrinimą šalies sertifikavimo įstaiga (angl. Country Verifying Certification Authority)</w:t>
            </w:r>
          </w:p>
        </w:tc>
      </w:tr>
      <w:tr w:rsidR="00222BED" w:rsidRPr="006261B3" w14:paraId="5C6A9F4E" w14:textId="77777777" w:rsidTr="001142B0">
        <w:trPr>
          <w:cantSplit/>
          <w:trHeight w:val="346"/>
        </w:trPr>
        <w:tc>
          <w:tcPr>
            <w:tcW w:w="722" w:type="pct"/>
            <w:tcBorders>
              <w:top w:val="single" w:sz="4" w:space="0" w:color="auto"/>
              <w:left w:val="single" w:sz="4" w:space="0" w:color="auto"/>
              <w:bottom w:val="single" w:sz="4" w:space="0" w:color="auto"/>
              <w:right w:val="single" w:sz="4" w:space="0" w:color="auto"/>
            </w:tcBorders>
          </w:tcPr>
          <w:p w14:paraId="73D0A1F2"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DVCA</w:t>
            </w:r>
          </w:p>
        </w:tc>
        <w:tc>
          <w:tcPr>
            <w:tcW w:w="4278" w:type="pct"/>
            <w:tcBorders>
              <w:top w:val="single" w:sz="4" w:space="0" w:color="auto"/>
              <w:left w:val="single" w:sz="4" w:space="0" w:color="auto"/>
              <w:bottom w:val="single" w:sz="4" w:space="0" w:color="auto"/>
              <w:right w:val="single" w:sz="4" w:space="0" w:color="auto"/>
            </w:tcBorders>
          </w:tcPr>
          <w:p w14:paraId="25E1A459"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Dokumentų patikros sertifikavimo įstaiga (angl. Document Verifier)</w:t>
            </w:r>
          </w:p>
        </w:tc>
      </w:tr>
      <w:tr w:rsidR="00222BED" w:rsidRPr="006261B3" w14:paraId="771F4CB2" w14:textId="77777777" w:rsidTr="001142B0">
        <w:trPr>
          <w:cantSplit/>
          <w:trHeight w:val="346"/>
        </w:trPr>
        <w:tc>
          <w:tcPr>
            <w:tcW w:w="722" w:type="pct"/>
            <w:vAlign w:val="center"/>
          </w:tcPr>
          <w:p w14:paraId="016E5D4A"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EAC</w:t>
            </w:r>
          </w:p>
        </w:tc>
        <w:tc>
          <w:tcPr>
            <w:tcW w:w="4278" w:type="pct"/>
            <w:vAlign w:val="center"/>
          </w:tcPr>
          <w:p w14:paraId="01FD8D38"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 xml:space="preserve">Išplėstinė prieigos kontrolė (angl. Extended Access Control). </w:t>
            </w:r>
          </w:p>
        </w:tc>
      </w:tr>
      <w:tr w:rsidR="00222BED" w:rsidRPr="006261B3" w14:paraId="7C661A67" w14:textId="77777777" w:rsidTr="001142B0">
        <w:trPr>
          <w:cantSplit/>
          <w:trHeight w:val="346"/>
        </w:trPr>
        <w:tc>
          <w:tcPr>
            <w:tcW w:w="722" w:type="pct"/>
            <w:vAlign w:val="center"/>
          </w:tcPr>
          <w:p w14:paraId="06CE4C94"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eMRTD</w:t>
            </w:r>
          </w:p>
        </w:tc>
        <w:tc>
          <w:tcPr>
            <w:tcW w:w="4278" w:type="pct"/>
            <w:vAlign w:val="center"/>
          </w:tcPr>
          <w:p w14:paraId="335C70F4"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Elektroninis mašininio nuskaitymo kelionės dokumentas (angl. electronic Machine Readable Travel Document)</w:t>
            </w:r>
          </w:p>
        </w:tc>
      </w:tr>
      <w:tr w:rsidR="00222BED" w:rsidRPr="006261B3" w14:paraId="1CF367BF" w14:textId="77777777" w:rsidTr="001142B0">
        <w:trPr>
          <w:cantSplit/>
          <w:trHeight w:val="346"/>
        </w:trPr>
        <w:tc>
          <w:tcPr>
            <w:tcW w:w="722" w:type="pct"/>
            <w:vAlign w:val="center"/>
          </w:tcPr>
          <w:p w14:paraId="740FD27B"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HSM</w:t>
            </w:r>
          </w:p>
        </w:tc>
        <w:tc>
          <w:tcPr>
            <w:tcW w:w="4278" w:type="pct"/>
            <w:vAlign w:val="center"/>
          </w:tcPr>
          <w:p w14:paraId="1E0ABCA2"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Kriptografinis saugumo modulis (angl. Hardware Security Model)</w:t>
            </w:r>
          </w:p>
        </w:tc>
      </w:tr>
      <w:tr w:rsidR="00222BED" w:rsidRPr="006261B3" w14:paraId="1C0EF5AD" w14:textId="77777777" w:rsidTr="001142B0">
        <w:trPr>
          <w:cantSplit/>
          <w:trHeight w:val="346"/>
        </w:trPr>
        <w:tc>
          <w:tcPr>
            <w:tcW w:w="722" w:type="pct"/>
            <w:vAlign w:val="center"/>
          </w:tcPr>
          <w:p w14:paraId="40DFDC82"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IS</w:t>
            </w:r>
          </w:p>
        </w:tc>
        <w:tc>
          <w:tcPr>
            <w:tcW w:w="4278" w:type="pct"/>
            <w:vAlign w:val="center"/>
          </w:tcPr>
          <w:p w14:paraId="671B4410"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Informacinė sistema</w:t>
            </w:r>
          </w:p>
        </w:tc>
      </w:tr>
      <w:tr w:rsidR="00222BED" w:rsidRPr="006261B3" w14:paraId="1083EB57" w14:textId="77777777" w:rsidTr="001142B0">
        <w:trPr>
          <w:cantSplit/>
          <w:trHeight w:val="346"/>
        </w:trPr>
        <w:tc>
          <w:tcPr>
            <w:tcW w:w="722" w:type="pct"/>
          </w:tcPr>
          <w:p w14:paraId="04F3BBDA" w14:textId="77777777" w:rsidR="00222BED" w:rsidRPr="006261B3" w:rsidRDefault="00222BED" w:rsidP="006261B3">
            <w:pPr>
              <w:pStyle w:val="Lentelsheaderis"/>
              <w:spacing w:before="0" w:after="0"/>
              <w:jc w:val="left"/>
              <w:rPr>
                <w:b w:val="0"/>
                <w:sz w:val="24"/>
                <w:szCs w:val="24"/>
                <w:lang w:val="lt-LT"/>
              </w:rPr>
            </w:pPr>
            <w:r w:rsidRPr="006261B3">
              <w:rPr>
                <w:b w:val="0"/>
                <w:sz w:val="24"/>
                <w:szCs w:val="24"/>
                <w:lang w:val="lt-LT"/>
              </w:rPr>
              <w:t>WS</w:t>
            </w:r>
          </w:p>
        </w:tc>
        <w:tc>
          <w:tcPr>
            <w:tcW w:w="4278" w:type="pct"/>
          </w:tcPr>
          <w:p w14:paraId="157A510C" w14:textId="77777777" w:rsidR="00222BED" w:rsidRPr="006261B3" w:rsidRDefault="00222BED" w:rsidP="00351D4B">
            <w:pPr>
              <w:pStyle w:val="Lentelsheaderis"/>
              <w:spacing w:before="0" w:after="0"/>
              <w:jc w:val="left"/>
              <w:rPr>
                <w:b w:val="0"/>
                <w:sz w:val="24"/>
                <w:szCs w:val="24"/>
                <w:lang w:val="lt-LT"/>
              </w:rPr>
            </w:pPr>
            <w:r w:rsidRPr="006261B3">
              <w:rPr>
                <w:b w:val="0"/>
                <w:sz w:val="24"/>
                <w:szCs w:val="24"/>
                <w:lang w:val="lt-LT"/>
              </w:rPr>
              <w:t>Tinklinės paslauga (angl. web service)</w:t>
            </w:r>
          </w:p>
        </w:tc>
      </w:tr>
      <w:tr w:rsidR="00222BED" w:rsidRPr="006261B3" w14:paraId="3433C7BA" w14:textId="77777777" w:rsidTr="001142B0">
        <w:trPr>
          <w:cantSplit/>
          <w:trHeight w:val="346"/>
        </w:trPr>
        <w:tc>
          <w:tcPr>
            <w:tcW w:w="722" w:type="pct"/>
          </w:tcPr>
          <w:p w14:paraId="2FE82200" w14:textId="77777777" w:rsidR="00222BED" w:rsidRPr="006261B3" w:rsidRDefault="00222BED" w:rsidP="006261B3">
            <w:pPr>
              <w:pStyle w:val="Lentelsvidus"/>
              <w:spacing w:before="0" w:after="0" w:line="240" w:lineRule="auto"/>
              <w:rPr>
                <w:sz w:val="24"/>
                <w:szCs w:val="24"/>
              </w:rPr>
            </w:pPr>
            <w:r w:rsidRPr="006261B3">
              <w:rPr>
                <w:sz w:val="24"/>
                <w:szCs w:val="24"/>
              </w:rPr>
              <w:t>WSDL</w:t>
            </w:r>
          </w:p>
        </w:tc>
        <w:tc>
          <w:tcPr>
            <w:tcW w:w="4278" w:type="pct"/>
          </w:tcPr>
          <w:p w14:paraId="776D3915" w14:textId="77777777" w:rsidR="00222BED" w:rsidRPr="006261B3" w:rsidRDefault="00222BED" w:rsidP="00351D4B">
            <w:pPr>
              <w:pStyle w:val="Lentelsvidus"/>
              <w:spacing w:before="0" w:after="0" w:line="240" w:lineRule="auto"/>
              <w:rPr>
                <w:sz w:val="24"/>
                <w:szCs w:val="24"/>
              </w:rPr>
            </w:pPr>
            <w:r w:rsidRPr="006261B3">
              <w:rPr>
                <w:sz w:val="24"/>
                <w:szCs w:val="24"/>
              </w:rPr>
              <w:t>Web Services Description Language</w:t>
            </w:r>
          </w:p>
        </w:tc>
      </w:tr>
      <w:tr w:rsidR="00222BED" w:rsidRPr="006261B3" w14:paraId="6EB2060D" w14:textId="77777777" w:rsidTr="001142B0">
        <w:trPr>
          <w:cantSplit/>
          <w:trHeight w:val="346"/>
        </w:trPr>
        <w:tc>
          <w:tcPr>
            <w:tcW w:w="722" w:type="pct"/>
            <w:vAlign w:val="center"/>
          </w:tcPr>
          <w:p w14:paraId="4181F007" w14:textId="77777777" w:rsidR="00222BED" w:rsidRPr="006261B3" w:rsidRDefault="00222BED" w:rsidP="006261B3">
            <w:pPr>
              <w:pStyle w:val="Lentelsvidus"/>
              <w:spacing w:before="0" w:after="0" w:line="240" w:lineRule="auto"/>
              <w:rPr>
                <w:sz w:val="24"/>
                <w:szCs w:val="24"/>
              </w:rPr>
            </w:pPr>
            <w:r w:rsidRPr="006261B3">
              <w:rPr>
                <w:sz w:val="24"/>
                <w:szCs w:val="24"/>
              </w:rPr>
              <w:t>PKI</w:t>
            </w:r>
          </w:p>
        </w:tc>
        <w:tc>
          <w:tcPr>
            <w:tcW w:w="4278" w:type="pct"/>
          </w:tcPr>
          <w:p w14:paraId="30E224FF" w14:textId="77777777" w:rsidR="00222BED" w:rsidRPr="006261B3" w:rsidRDefault="00222BED" w:rsidP="00351D4B">
            <w:pPr>
              <w:pStyle w:val="Lentelsvidus"/>
              <w:spacing w:before="0" w:after="0" w:line="240" w:lineRule="auto"/>
              <w:rPr>
                <w:sz w:val="24"/>
                <w:szCs w:val="24"/>
              </w:rPr>
            </w:pPr>
            <w:r w:rsidRPr="006261B3">
              <w:rPr>
                <w:sz w:val="24"/>
                <w:szCs w:val="24"/>
              </w:rPr>
              <w:t>Viešojo rakto infrastruktūra (angl. Public Key Infrastructure)</w:t>
            </w:r>
          </w:p>
        </w:tc>
      </w:tr>
      <w:tr w:rsidR="00222BED" w:rsidRPr="006261B3" w14:paraId="39AE0FA9" w14:textId="77777777" w:rsidTr="001142B0">
        <w:trPr>
          <w:cantSplit/>
          <w:trHeight w:val="346"/>
        </w:trPr>
        <w:tc>
          <w:tcPr>
            <w:tcW w:w="722" w:type="pct"/>
            <w:vAlign w:val="center"/>
          </w:tcPr>
          <w:p w14:paraId="3E9F2280" w14:textId="77777777" w:rsidR="00222BED" w:rsidRPr="006261B3" w:rsidRDefault="00222BED" w:rsidP="006261B3">
            <w:pPr>
              <w:pStyle w:val="Lentelsvidus"/>
              <w:spacing w:before="0" w:after="0" w:line="240" w:lineRule="auto"/>
              <w:rPr>
                <w:sz w:val="24"/>
                <w:szCs w:val="24"/>
              </w:rPr>
            </w:pPr>
            <w:r w:rsidRPr="006261B3">
              <w:rPr>
                <w:sz w:val="24"/>
                <w:szCs w:val="24"/>
              </w:rPr>
              <w:t>IS</w:t>
            </w:r>
          </w:p>
        </w:tc>
        <w:tc>
          <w:tcPr>
            <w:tcW w:w="4278" w:type="pct"/>
          </w:tcPr>
          <w:p w14:paraId="79FB530D" w14:textId="77777777" w:rsidR="00222BED" w:rsidRPr="006261B3" w:rsidRDefault="00222BED" w:rsidP="00351D4B">
            <w:pPr>
              <w:pStyle w:val="Lentelsvidus"/>
              <w:spacing w:before="0" w:after="0" w:line="240" w:lineRule="auto"/>
              <w:rPr>
                <w:sz w:val="24"/>
                <w:szCs w:val="24"/>
              </w:rPr>
            </w:pPr>
            <w:r w:rsidRPr="006261B3">
              <w:rPr>
                <w:sz w:val="24"/>
                <w:szCs w:val="24"/>
              </w:rPr>
              <w:t>Patikros sistema (angl. Inspection system)</w:t>
            </w:r>
          </w:p>
        </w:tc>
      </w:tr>
      <w:tr w:rsidR="00222BED" w:rsidRPr="006261B3" w14:paraId="0DE1CD3C" w14:textId="77777777" w:rsidTr="001142B0">
        <w:trPr>
          <w:cantSplit/>
          <w:trHeight w:val="346"/>
        </w:trPr>
        <w:tc>
          <w:tcPr>
            <w:tcW w:w="722" w:type="pct"/>
            <w:vAlign w:val="center"/>
          </w:tcPr>
          <w:p w14:paraId="659B9CA3" w14:textId="77777777" w:rsidR="00222BED" w:rsidRPr="006261B3" w:rsidRDefault="00222BED" w:rsidP="006261B3">
            <w:pPr>
              <w:pStyle w:val="Lentelsvidus"/>
              <w:spacing w:before="0" w:after="0" w:line="240" w:lineRule="auto"/>
              <w:rPr>
                <w:sz w:val="24"/>
                <w:szCs w:val="24"/>
              </w:rPr>
            </w:pPr>
            <w:r w:rsidRPr="006261B3">
              <w:rPr>
                <w:sz w:val="24"/>
                <w:szCs w:val="24"/>
              </w:rPr>
              <w:t>SN</w:t>
            </w:r>
          </w:p>
        </w:tc>
        <w:tc>
          <w:tcPr>
            <w:tcW w:w="4278" w:type="pct"/>
          </w:tcPr>
          <w:p w14:paraId="1DD4F5AE" w14:textId="77777777" w:rsidR="00222BED" w:rsidRPr="006261B3" w:rsidRDefault="00222BED" w:rsidP="00351D4B">
            <w:pPr>
              <w:pStyle w:val="Lentelsvidus"/>
              <w:spacing w:before="0" w:after="0" w:line="240" w:lineRule="auto"/>
              <w:rPr>
                <w:sz w:val="24"/>
                <w:szCs w:val="24"/>
              </w:rPr>
            </w:pPr>
            <w:r w:rsidRPr="006261B3">
              <w:rPr>
                <w:sz w:val="24"/>
                <w:szCs w:val="24"/>
              </w:rPr>
              <w:t>Saugus tinklas (angl. Secure network)</w:t>
            </w:r>
          </w:p>
        </w:tc>
      </w:tr>
      <w:tr w:rsidR="00222BED" w:rsidRPr="006261B3" w14:paraId="49B6D10B" w14:textId="77777777" w:rsidTr="001142B0">
        <w:trPr>
          <w:cantSplit/>
          <w:trHeight w:val="346"/>
        </w:trPr>
        <w:tc>
          <w:tcPr>
            <w:tcW w:w="722" w:type="pct"/>
          </w:tcPr>
          <w:p w14:paraId="2A8B330A" w14:textId="77777777" w:rsidR="00222BED" w:rsidRPr="006261B3" w:rsidRDefault="00222BED" w:rsidP="006261B3">
            <w:pPr>
              <w:pStyle w:val="Lentelsvidus"/>
              <w:spacing w:before="0" w:after="0" w:line="240" w:lineRule="auto"/>
              <w:rPr>
                <w:sz w:val="24"/>
                <w:szCs w:val="24"/>
              </w:rPr>
            </w:pPr>
            <w:r w:rsidRPr="006261B3">
              <w:rPr>
                <w:sz w:val="24"/>
                <w:szCs w:val="24"/>
              </w:rPr>
              <w:t>SPOC</w:t>
            </w:r>
          </w:p>
        </w:tc>
        <w:tc>
          <w:tcPr>
            <w:tcW w:w="4278" w:type="pct"/>
          </w:tcPr>
          <w:p w14:paraId="3931E1F9" w14:textId="77777777" w:rsidR="00222BED" w:rsidRPr="006261B3" w:rsidRDefault="00222BED" w:rsidP="00351D4B">
            <w:pPr>
              <w:pStyle w:val="Lentelsvidus"/>
              <w:spacing w:before="0" w:after="0" w:line="240" w:lineRule="auto"/>
              <w:rPr>
                <w:sz w:val="24"/>
                <w:szCs w:val="24"/>
              </w:rPr>
            </w:pPr>
            <w:r w:rsidRPr="006261B3">
              <w:rPr>
                <w:sz w:val="24"/>
                <w:szCs w:val="24"/>
              </w:rPr>
              <w:t>Bendras ryšių palaikymo punktas (angl. Single point of contact)</w:t>
            </w:r>
          </w:p>
        </w:tc>
      </w:tr>
      <w:tr w:rsidR="00222BED" w:rsidRPr="006261B3" w14:paraId="0B8E13DE" w14:textId="77777777" w:rsidTr="001142B0">
        <w:trPr>
          <w:cantSplit/>
          <w:trHeight w:val="346"/>
        </w:trPr>
        <w:tc>
          <w:tcPr>
            <w:tcW w:w="722" w:type="pct"/>
          </w:tcPr>
          <w:p w14:paraId="057E66B2" w14:textId="77777777" w:rsidR="00222BED" w:rsidRPr="006261B3" w:rsidRDefault="00222BED" w:rsidP="006261B3">
            <w:pPr>
              <w:pStyle w:val="Lentelsvidus"/>
              <w:spacing w:before="0" w:after="0" w:line="240" w:lineRule="auto"/>
              <w:rPr>
                <w:sz w:val="24"/>
                <w:szCs w:val="24"/>
              </w:rPr>
            </w:pPr>
            <w:r w:rsidRPr="006261B3">
              <w:rPr>
                <w:sz w:val="24"/>
                <w:szCs w:val="24"/>
              </w:rPr>
              <w:t>TLS</w:t>
            </w:r>
          </w:p>
        </w:tc>
        <w:tc>
          <w:tcPr>
            <w:tcW w:w="4278" w:type="pct"/>
          </w:tcPr>
          <w:p w14:paraId="5D366A04" w14:textId="77777777" w:rsidR="00222BED" w:rsidRPr="006261B3" w:rsidRDefault="00222BED" w:rsidP="00351D4B">
            <w:pPr>
              <w:pStyle w:val="Lentelsvidus"/>
              <w:spacing w:before="0" w:after="0" w:line="240" w:lineRule="auto"/>
              <w:rPr>
                <w:sz w:val="24"/>
                <w:szCs w:val="24"/>
              </w:rPr>
            </w:pPr>
            <w:r w:rsidRPr="006261B3">
              <w:rPr>
                <w:sz w:val="24"/>
                <w:szCs w:val="24"/>
              </w:rPr>
              <w:t>Transport Security Layer</w:t>
            </w:r>
          </w:p>
        </w:tc>
      </w:tr>
      <w:tr w:rsidR="00222BED" w:rsidRPr="006261B3" w14:paraId="6A0670CB" w14:textId="77777777" w:rsidTr="001142B0">
        <w:trPr>
          <w:cantSplit/>
          <w:trHeight w:val="346"/>
        </w:trPr>
        <w:tc>
          <w:tcPr>
            <w:tcW w:w="722" w:type="pct"/>
            <w:vAlign w:val="center"/>
          </w:tcPr>
          <w:p w14:paraId="649CDB27" w14:textId="77777777" w:rsidR="00222BED" w:rsidRPr="006261B3" w:rsidRDefault="00222BED" w:rsidP="006261B3">
            <w:pPr>
              <w:pStyle w:val="Lentelsvidus"/>
              <w:spacing w:before="0" w:after="0" w:line="240" w:lineRule="auto"/>
              <w:rPr>
                <w:sz w:val="24"/>
                <w:szCs w:val="24"/>
              </w:rPr>
            </w:pPr>
            <w:r w:rsidRPr="006261B3">
              <w:rPr>
                <w:sz w:val="24"/>
                <w:szCs w:val="24"/>
              </w:rPr>
              <w:t>ES</w:t>
            </w:r>
          </w:p>
        </w:tc>
        <w:tc>
          <w:tcPr>
            <w:tcW w:w="4278" w:type="pct"/>
            <w:vAlign w:val="center"/>
          </w:tcPr>
          <w:p w14:paraId="70904726" w14:textId="77777777" w:rsidR="00222BED" w:rsidRPr="006261B3" w:rsidRDefault="00222BED" w:rsidP="00351D4B">
            <w:pPr>
              <w:pStyle w:val="Lentelsvidus"/>
              <w:spacing w:before="0" w:after="0" w:line="240" w:lineRule="auto"/>
              <w:rPr>
                <w:sz w:val="24"/>
                <w:szCs w:val="24"/>
              </w:rPr>
            </w:pPr>
            <w:r w:rsidRPr="006261B3">
              <w:rPr>
                <w:sz w:val="24"/>
                <w:szCs w:val="24"/>
              </w:rPr>
              <w:t>Europos Sąjunga</w:t>
            </w:r>
          </w:p>
        </w:tc>
      </w:tr>
      <w:tr w:rsidR="00222BED" w:rsidRPr="006261B3" w14:paraId="01062B98" w14:textId="77777777" w:rsidTr="001142B0">
        <w:trPr>
          <w:cantSplit/>
          <w:trHeight w:val="346"/>
        </w:trPr>
        <w:tc>
          <w:tcPr>
            <w:tcW w:w="722" w:type="pct"/>
            <w:vAlign w:val="center"/>
          </w:tcPr>
          <w:p w14:paraId="1421FC7B" w14:textId="77777777" w:rsidR="00222BED" w:rsidRPr="006261B3" w:rsidRDefault="00222BED" w:rsidP="006261B3">
            <w:pPr>
              <w:pStyle w:val="Lentelsvidus"/>
              <w:spacing w:before="0" w:after="0" w:line="240" w:lineRule="auto"/>
              <w:rPr>
                <w:sz w:val="24"/>
                <w:szCs w:val="24"/>
              </w:rPr>
            </w:pPr>
            <w:r w:rsidRPr="006261B3">
              <w:rPr>
                <w:sz w:val="24"/>
                <w:szCs w:val="24"/>
              </w:rPr>
              <w:t>VRM</w:t>
            </w:r>
          </w:p>
        </w:tc>
        <w:tc>
          <w:tcPr>
            <w:tcW w:w="4278" w:type="pct"/>
            <w:vAlign w:val="center"/>
          </w:tcPr>
          <w:p w14:paraId="76DFC143" w14:textId="77777777" w:rsidR="00222BED" w:rsidRPr="006261B3" w:rsidRDefault="00222BED" w:rsidP="00351D4B">
            <w:pPr>
              <w:pStyle w:val="Lentelsvidus"/>
              <w:spacing w:before="0" w:after="0" w:line="240" w:lineRule="auto"/>
              <w:rPr>
                <w:sz w:val="24"/>
                <w:szCs w:val="24"/>
              </w:rPr>
            </w:pPr>
            <w:r w:rsidRPr="006261B3">
              <w:rPr>
                <w:sz w:val="24"/>
                <w:szCs w:val="24"/>
              </w:rPr>
              <w:t>Lietuvos Respublikos Vidaus reikalų ministerija</w:t>
            </w:r>
          </w:p>
        </w:tc>
      </w:tr>
      <w:tr w:rsidR="00222BED" w:rsidRPr="006261B3" w14:paraId="6620F99E" w14:textId="77777777" w:rsidTr="001142B0">
        <w:trPr>
          <w:cantSplit/>
          <w:trHeight w:val="64"/>
        </w:trPr>
        <w:tc>
          <w:tcPr>
            <w:tcW w:w="722" w:type="pct"/>
            <w:vAlign w:val="center"/>
          </w:tcPr>
          <w:p w14:paraId="64C30A42" w14:textId="77777777" w:rsidR="00222BED" w:rsidRPr="006261B3" w:rsidRDefault="00222BED" w:rsidP="006261B3">
            <w:pPr>
              <w:pStyle w:val="Lentelsvidus"/>
              <w:spacing w:before="0" w:after="0" w:line="240" w:lineRule="auto"/>
              <w:rPr>
                <w:sz w:val="24"/>
                <w:szCs w:val="24"/>
              </w:rPr>
            </w:pPr>
            <w:r w:rsidRPr="006261B3">
              <w:rPr>
                <w:sz w:val="24"/>
                <w:szCs w:val="24"/>
              </w:rPr>
              <w:t>VRTT</w:t>
            </w:r>
          </w:p>
        </w:tc>
        <w:tc>
          <w:tcPr>
            <w:tcW w:w="4278" w:type="pct"/>
            <w:vAlign w:val="center"/>
          </w:tcPr>
          <w:p w14:paraId="296D6DFB" w14:textId="77777777" w:rsidR="00222BED" w:rsidRPr="006261B3" w:rsidRDefault="00222BED" w:rsidP="00351D4B">
            <w:pPr>
              <w:pStyle w:val="Lentelsvidus"/>
              <w:spacing w:before="0" w:after="0" w:line="240" w:lineRule="auto"/>
              <w:rPr>
                <w:sz w:val="24"/>
                <w:szCs w:val="24"/>
              </w:rPr>
            </w:pPr>
            <w:r w:rsidRPr="006261B3">
              <w:rPr>
                <w:sz w:val="24"/>
                <w:szCs w:val="24"/>
              </w:rPr>
              <w:t>Vidaus reikalų tarnybinis tinklas</w:t>
            </w:r>
          </w:p>
        </w:tc>
      </w:tr>
    </w:tbl>
    <w:p w14:paraId="1A150E86" w14:textId="77777777" w:rsidR="00222BED" w:rsidRDefault="00222BED" w:rsidP="006261B3">
      <w:pPr>
        <w:pStyle w:val="Pagrindiniotekstotrauka"/>
        <w:spacing w:after="0" w:line="240" w:lineRule="auto"/>
        <w:ind w:left="0" w:right="-2" w:firstLine="720"/>
        <w:rPr>
          <w:rFonts w:ascii="Times New Roman" w:hAnsi="Times New Roman" w:cs="Times New Roman"/>
          <w:sz w:val="24"/>
          <w:szCs w:val="24"/>
          <w:lang w:val="lt-LT"/>
        </w:rPr>
      </w:pPr>
    </w:p>
    <w:p w14:paraId="752E3972" w14:textId="77777777" w:rsidR="006261B3" w:rsidRPr="006261B3" w:rsidRDefault="006261B3" w:rsidP="006261B3">
      <w:pPr>
        <w:pStyle w:val="Pagrindiniotekstotrauka"/>
        <w:spacing w:after="0" w:line="240" w:lineRule="auto"/>
        <w:ind w:left="0" w:right="-2" w:firstLine="720"/>
        <w:rPr>
          <w:rFonts w:ascii="Times New Roman" w:hAnsi="Times New Roman" w:cs="Times New Roman"/>
          <w:sz w:val="24"/>
          <w:szCs w:val="24"/>
          <w:lang w:val="lt-LT"/>
        </w:rPr>
      </w:pPr>
    </w:p>
    <w:p w14:paraId="150DC911" w14:textId="77777777" w:rsidR="006261B3" w:rsidRPr="006261B3" w:rsidRDefault="006261B3" w:rsidP="006261B3">
      <w:pPr>
        <w:pStyle w:val="Pagrindiniotekstotrauka"/>
        <w:spacing w:after="0" w:line="240" w:lineRule="auto"/>
        <w:ind w:left="0" w:right="-2" w:firstLine="720"/>
        <w:rPr>
          <w:rFonts w:ascii="Times New Roman" w:hAnsi="Times New Roman" w:cs="Times New Roman"/>
          <w:sz w:val="24"/>
          <w:szCs w:val="24"/>
          <w:lang w:val="lt-LT"/>
        </w:rPr>
      </w:pPr>
    </w:p>
    <w:p w14:paraId="34DAE247" w14:textId="77777777" w:rsidR="00222BED" w:rsidRPr="006261B3" w:rsidRDefault="00222BED" w:rsidP="006261B3">
      <w:pPr>
        <w:numPr>
          <w:ilvl w:val="1"/>
          <w:numId w:val="40"/>
        </w:numPr>
        <w:tabs>
          <w:tab w:val="clear" w:pos="1000"/>
          <w:tab w:val="num" w:pos="-3544"/>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Esama situacija</w:t>
      </w:r>
    </w:p>
    <w:p w14:paraId="24A94245"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2016 m. sukurta SPOC sistemos infrastruktūra, įgyvendinant 2009-10-05 Europos Komisijos sprendimą C(2009) 7476, iš dalies keičiantį Komisijos sprendimą C(2008) 8657, kuriuo nustatoma sertifikavimo politika, kaip reikalaujama valstybių narių išduodamų pasų ir kelionės dokumentų apsauginių savybių ir biometrinių duomenų standartų techninėse specifikacijose (toliau – Komisijos sprendimas C(2009) 7476) ir 2011-08-04 Europos Komisijos sprendimą K(2011) 5478, kuriuo iš dalies keičiamas Komisijos sprendimas C(2002) 3069, kuriuo nustatomos vienodos trečiųjų šalių piliečių leidimų gyventi formos techninės specifikacijos (toliau – Komisijos sprendimas K(2011) 5478). </w:t>
      </w:r>
    </w:p>
    <w:p w14:paraId="0C600D89"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Europos Sąjungos šalių narių Dokumentus patikrinti įgaliotoms įstaigoms (angl. </w:t>
      </w:r>
      <w:r w:rsidRPr="006261B3">
        <w:rPr>
          <w:rFonts w:ascii="Times New Roman" w:hAnsi="Times New Roman" w:cs="Times New Roman"/>
          <w:i/>
          <w:iCs/>
          <w:sz w:val="24"/>
          <w:szCs w:val="24"/>
          <w:lang w:val="lt-LT"/>
        </w:rPr>
        <w:t>Document Verifying Certification Authority</w:t>
      </w:r>
      <w:r w:rsidRPr="006261B3">
        <w:rPr>
          <w:rFonts w:ascii="Times New Roman" w:hAnsi="Times New Roman" w:cs="Times New Roman"/>
          <w:sz w:val="24"/>
          <w:szCs w:val="24"/>
          <w:lang w:val="lt-LT"/>
        </w:rPr>
        <w:t>) (toliau – DVCA), kurios turi SPOC sistemą, suteikta prieiga prie Lietuvos eMRTD. Taip pat suteikta galimybė ir Lietuvoje veikiantiems DVCA gauti prieigą prie ES šalių narių</w:t>
      </w:r>
      <w:r w:rsidRPr="006261B3">
        <w:rPr>
          <w:rFonts w:ascii="Times New Roman" w:hAnsi="Times New Roman" w:cs="Times New Roman"/>
          <w:i/>
          <w:iCs/>
          <w:sz w:val="24"/>
          <w:szCs w:val="24"/>
          <w:lang w:val="lt-LT"/>
        </w:rPr>
        <w:t xml:space="preserve"> </w:t>
      </w:r>
      <w:r w:rsidRPr="006261B3">
        <w:rPr>
          <w:rFonts w:ascii="Times New Roman" w:hAnsi="Times New Roman" w:cs="Times New Roman"/>
          <w:sz w:val="24"/>
          <w:szCs w:val="24"/>
          <w:lang w:val="lt-LT"/>
        </w:rPr>
        <w:t>eMRTD jautrių duomenų (pirštų atspaudų) apsaugotų išplėstinės prieigos kontrolės mechanizmu (EAC).</w:t>
      </w:r>
    </w:p>
    <w:p w14:paraId="5BF40AA6"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Vykdomos SPOC funkcijos:</w:t>
      </w:r>
    </w:p>
    <w:p w14:paraId="3C495FE4" w14:textId="77777777" w:rsidR="00222BED" w:rsidRPr="006261B3" w:rsidRDefault="00222BED" w:rsidP="006261B3">
      <w:pPr>
        <w:numPr>
          <w:ilvl w:val="3"/>
          <w:numId w:val="40"/>
        </w:numPr>
        <w:tabs>
          <w:tab w:val="clear" w:pos="1800"/>
          <w:tab w:val="left" w:pos="1276"/>
          <w:tab w:val="left" w:pos="1560"/>
          <w:tab w:val="left" w:pos="1843"/>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keičiamasi pasų ir kitų kelionės dokumentų sertifikatais tarp valstybių narių, kaip nustatyta 2018-11-30 Komisijos sprendimo C(2018) 7774 2 straipsnyje;</w:t>
      </w:r>
    </w:p>
    <w:p w14:paraId="65F082A5" w14:textId="77777777" w:rsidR="00222BED" w:rsidRPr="006261B3" w:rsidRDefault="00222BED" w:rsidP="006261B3">
      <w:pPr>
        <w:numPr>
          <w:ilvl w:val="3"/>
          <w:numId w:val="40"/>
        </w:numPr>
        <w:tabs>
          <w:tab w:val="clear" w:pos="1800"/>
          <w:tab w:val="left" w:pos="1276"/>
          <w:tab w:val="left" w:pos="1560"/>
          <w:tab w:val="left" w:pos="1843"/>
          <w:tab w:val="left" w:pos="1985"/>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 keičiamasi trečiųjų šalių piliečių leidimų gyventi sertifikatais, kaip nustatyta 2018-11-30 Komisijos sprendimo C(2018) 7767 3 straipsnyje.</w:t>
      </w:r>
    </w:p>
    <w:p w14:paraId="26FF9A77" w14:textId="77777777" w:rsidR="00222BED" w:rsidRPr="006261B3" w:rsidRDefault="00222BED" w:rsidP="006261B3">
      <w:pPr>
        <w:numPr>
          <w:ilvl w:val="1"/>
          <w:numId w:val="40"/>
        </w:numPr>
        <w:tabs>
          <w:tab w:val="clear" w:pos="1000"/>
          <w:tab w:val="num" w:pos="-3686"/>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Teisės aktai, kuriais turi būti vadovaujamasi</w:t>
      </w:r>
    </w:p>
    <w:p w14:paraId="37108095"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2018 m. lapkričio 30 d. Europos komisijos sprendimas C(2018) 7774, kuriuo nustatomos valstybių narių išduodamų pasų ir kelionės dokumentų apsaugos priemonių ir biometrinių duomenų standartų techninės specifikacijos ir panaikinami sprendimai C(2006)2909 ir C(2008)8657;</w:t>
      </w:r>
    </w:p>
    <w:p w14:paraId="0F219F96"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2018 m. lapkričio 30 d. Europos komisijos sprendimas C(2018) 7767, kuriuos nustatomos vienodos leidimų gyventi trečiųjų šalių piliečiams formos techninės specifikacijos ir panaikinamas sprendimas C(2002)3069;</w:t>
      </w:r>
    </w:p>
    <w:p w14:paraId="17F3ED99"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Lietuvos Respublikos valstybės informacinių išteklių valdymo įstatymas;</w:t>
      </w:r>
    </w:p>
    <w:p w14:paraId="03EED197"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lastRenderedPageBreak/>
        <w:t>Valstybės informacinių sistemų steigimo, kūrimo, modernizavimo ir likvidavimo tvarkos aprašas, patvirtintas Lietuvos Respublikos Vyriausybės 2024 m. gegužės 15 d. nutarimu Nr. 349 „Dėl Lietuvos Respublikos Valstybės informacinių išteklių valdymo įstatymo įgyvendinimo“;</w:t>
      </w:r>
    </w:p>
    <w:p w14:paraId="7BEB3A82"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Lietuvos Respublikos kibernetinio saugumo įstatymas;</w:t>
      </w:r>
    </w:p>
    <w:p w14:paraId="0A309753"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Organizacinių ir techninių kibernetinio saugumo reikalavimų, taikomų kibernetinio saugumo subjektams, aprašas, patvirtintas Lietuvos Respublikos Vyriausybės 2024 m. lapkričio  6 d. nutarimu Nr. 945 „Dėl Lietuvos Respublikos kibernetinio saugumo įstatymo įgyvendinimo“; </w:t>
      </w:r>
    </w:p>
    <w:p w14:paraId="0529F5A4"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r w:rsidRPr="006261B3">
        <w:rPr>
          <w:rFonts w:ascii="Times New Roman" w:hAnsi="Times New Roman" w:cs="Times New Roman"/>
          <w:sz w:val="24"/>
          <w:szCs w:val="24"/>
          <w:lang w:val="lt-LT"/>
        </w:rPr>
        <w:t>Informacinių technologijų saugos atitikties vertinimo metodika, patvirtinta Lietuvos Respublikos krašto apsaugos ministro 2020 m. gruodžio 4 d. įsakymu Nr. V-941 „Dėl informacinių technologijų saugos atitikties vertinimo metodikos patvirtinimo“;</w:t>
      </w:r>
    </w:p>
    <w:p w14:paraId="35C147AE" w14:textId="77777777" w:rsidR="00222BED" w:rsidRPr="006261B3" w:rsidRDefault="00222BED" w:rsidP="006261B3">
      <w:pPr>
        <w:pStyle w:val="Sraopastraipa"/>
        <w:numPr>
          <w:ilvl w:val="2"/>
          <w:numId w:val="40"/>
        </w:numPr>
        <w:suppressAutoHyphens/>
        <w:autoSpaceDN w:val="0"/>
        <w:spacing w:after="0" w:line="240" w:lineRule="auto"/>
        <w:ind w:left="0" w:firstLine="720"/>
        <w:contextualSpacing w:val="0"/>
        <w:textAlignment w:val="baseline"/>
        <w:rPr>
          <w:rFonts w:ascii="Times New Roman" w:hAnsi="Times New Roman" w:cs="Times New Roman"/>
          <w:sz w:val="24"/>
          <w:szCs w:val="24"/>
          <w:lang w:val="lt-LT"/>
        </w:rPr>
      </w:pPr>
      <w:bookmarkStart w:id="27" w:name="_Hlk120885931"/>
      <w:r w:rsidRPr="006261B3">
        <w:rPr>
          <w:rFonts w:ascii="Times New Roman" w:hAnsi="Times New Roman" w:cs="Times New Roman"/>
          <w:sz w:val="24"/>
          <w:szCs w:val="24"/>
          <w:lang w:val="lt-LT"/>
        </w:rPr>
        <w:t>Duomenų teikimo formatų ir standartų rekomendacijos, patvirtintos Informacinės visuomenės plėtros komiteto prie Susisiekimo ministerijos direktoriaus 2013 m. kovo 25 d. įsakymu Nr. T-36 „Dėl Duomenų teikimo formatų ir standartų rekomendacijų patvirtinimo“</w:t>
      </w:r>
      <w:bookmarkEnd w:id="27"/>
      <w:r w:rsidRPr="006261B3">
        <w:rPr>
          <w:rFonts w:ascii="Times New Roman" w:hAnsi="Times New Roman" w:cs="Times New Roman"/>
          <w:sz w:val="24"/>
          <w:szCs w:val="24"/>
          <w:lang w:val="lt-LT"/>
        </w:rPr>
        <w:t>;</w:t>
      </w:r>
    </w:p>
    <w:p w14:paraId="52E7B367" w14:textId="77777777" w:rsidR="00222BED" w:rsidRPr="006261B3" w:rsidRDefault="00222BED" w:rsidP="006261B3">
      <w:pPr>
        <w:pStyle w:val="Sraopastraipa"/>
        <w:spacing w:after="0" w:line="240" w:lineRule="auto"/>
        <w:ind w:left="0" w:firstLine="720"/>
        <w:rPr>
          <w:rFonts w:ascii="Times New Roman" w:hAnsi="Times New Roman" w:cs="Times New Roman"/>
          <w:sz w:val="24"/>
          <w:szCs w:val="24"/>
          <w:lang w:val="lt-LT"/>
        </w:rPr>
      </w:pPr>
    </w:p>
    <w:p w14:paraId="1DDA646A" w14:textId="77777777" w:rsidR="00222BED" w:rsidRPr="006261B3" w:rsidRDefault="00222BED" w:rsidP="006261B3">
      <w:pPr>
        <w:numPr>
          <w:ilvl w:val="0"/>
          <w:numId w:val="40"/>
        </w:numPr>
        <w:spacing w:after="0" w:line="240" w:lineRule="auto"/>
        <w:ind w:left="0" w:firstLine="720"/>
        <w:jc w:val="center"/>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Pirkimo tikslas ir pirkimo objektas</w:t>
      </w:r>
    </w:p>
    <w:p w14:paraId="7EB98F47" w14:textId="77777777" w:rsidR="00222BED" w:rsidRPr="006261B3" w:rsidRDefault="00222BED" w:rsidP="006261B3">
      <w:pPr>
        <w:numPr>
          <w:ilvl w:val="1"/>
          <w:numId w:val="40"/>
        </w:numPr>
        <w:tabs>
          <w:tab w:val="clear" w:pos="1000"/>
          <w:tab w:val="left" w:pos="270"/>
          <w:tab w:val="left" w:pos="450"/>
          <w:tab w:val="left" w:pos="600"/>
          <w:tab w:val="num" w:pos="792"/>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Šio pirkimo tikslas:</w:t>
      </w:r>
    </w:p>
    <w:p w14:paraId="2FBAA36F" w14:textId="77777777" w:rsidR="00222BED" w:rsidRPr="006261B3" w:rsidRDefault="00222BED" w:rsidP="006261B3">
      <w:pPr>
        <w:tabs>
          <w:tab w:val="left" w:pos="270"/>
          <w:tab w:val="left" w:pos="450"/>
          <w:tab w:val="left" w:pos="600"/>
        </w:tabs>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Įsigyti SPOC infrastruktūros priežiūros paslaugas.</w:t>
      </w:r>
    </w:p>
    <w:p w14:paraId="35BBE7CF" w14:textId="77777777" w:rsidR="00222BED" w:rsidRPr="006261B3" w:rsidRDefault="00222BED" w:rsidP="006261B3">
      <w:pPr>
        <w:numPr>
          <w:ilvl w:val="1"/>
          <w:numId w:val="40"/>
        </w:numPr>
        <w:tabs>
          <w:tab w:val="clear" w:pos="1000"/>
          <w:tab w:val="num" w:pos="792"/>
          <w:tab w:val="left" w:pos="851"/>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 xml:space="preserve">Pirkimo objektą sudaro: </w:t>
      </w:r>
    </w:p>
    <w:p w14:paraId="04B8D222" w14:textId="77777777" w:rsidR="00222BED" w:rsidRPr="006261B3" w:rsidRDefault="00222BED" w:rsidP="006261B3">
      <w:pPr>
        <w:pStyle w:val="Sraopastraipa"/>
        <w:tabs>
          <w:tab w:val="left" w:pos="567"/>
          <w:tab w:val="left" w:pos="60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taikomoji programinė įranga, leidžianti vykdyti visas būtinas funkcijas, siekiant ES šalių narių DVCA suteikti prieigą prie Lietuvos eMRTD ir Lietuvoje veikiantiems DVCA gauti prieigą prie ES šalių narių eMRTD duomenų (pirštų atspaudų) apsaugotų išplėstinės prieigos kontrolės mechanizmu (EAC).</w:t>
      </w:r>
    </w:p>
    <w:p w14:paraId="41622556" w14:textId="77777777" w:rsidR="00222BED" w:rsidRPr="006261B3" w:rsidRDefault="00222BED" w:rsidP="006261B3">
      <w:pPr>
        <w:numPr>
          <w:ilvl w:val="1"/>
          <w:numId w:val="40"/>
        </w:numPr>
        <w:tabs>
          <w:tab w:val="clear" w:pos="1000"/>
          <w:tab w:val="num" w:pos="792"/>
          <w:tab w:val="left" w:pos="851"/>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SPOC infrastruktūra:</w:t>
      </w:r>
    </w:p>
    <w:p w14:paraId="2E10D3B2" w14:textId="43555551" w:rsidR="00222BED" w:rsidRPr="006261B3" w:rsidRDefault="006261B3" w:rsidP="006261B3">
      <w:pPr>
        <w:tabs>
          <w:tab w:val="left" w:pos="851"/>
        </w:tabs>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noProof/>
          <w:sz w:val="24"/>
          <w:szCs w:val="24"/>
          <w:lang w:val="lt-LT"/>
        </w:rPr>
        <w:drawing>
          <wp:anchor distT="0" distB="0" distL="0" distR="0" simplePos="0" relativeHeight="251659264" behindDoc="1" locked="0" layoutInCell="1" allowOverlap="1" wp14:anchorId="0E51C112" wp14:editId="3BB6E0D0">
            <wp:simplePos x="0" y="0"/>
            <wp:positionH relativeFrom="margin">
              <wp:align>left</wp:align>
            </wp:positionH>
            <wp:positionV relativeFrom="paragraph">
              <wp:posOffset>277495</wp:posOffset>
            </wp:positionV>
            <wp:extent cx="5391785" cy="1888490"/>
            <wp:effectExtent l="0" t="0" r="0" b="0"/>
            <wp:wrapTight wrapText="largest">
              <wp:wrapPolygon edited="0">
                <wp:start x="0" y="0"/>
                <wp:lineTo x="0" y="21353"/>
                <wp:lineTo x="21521" y="21353"/>
                <wp:lineTo x="21521" y="0"/>
                <wp:lineTo x="0" y="0"/>
              </wp:wrapPolygon>
            </wp:wrapTight>
            <wp:docPr id="26" name="Picture 3" descr="Paveikslėlis, kuriame yra tekstas, diagrama, Plan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3" descr="Paveikslėlis, kuriame yra tekstas, diagrama, Planas, ekrano kopij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91785" cy="188849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222BED" w:rsidRPr="006261B3">
        <w:rPr>
          <w:rFonts w:ascii="Times New Roman" w:hAnsi="Times New Roman" w:cs="Times New Roman"/>
          <w:sz w:val="24"/>
          <w:szCs w:val="24"/>
          <w:lang w:val="lt-LT"/>
        </w:rPr>
        <w:t>1 pav. SPOC komponentinė architektūra:</w:t>
      </w:r>
    </w:p>
    <w:p w14:paraId="569622B6" w14:textId="589E1340"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58BE9228" w14:textId="77777777"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21F9F3E8" w14:textId="77777777"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0D0EC9ED" w14:textId="77777777"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0B6536E2" w14:textId="77777777" w:rsidR="00222BED" w:rsidRDefault="00222BED" w:rsidP="006261B3">
      <w:pPr>
        <w:tabs>
          <w:tab w:val="left" w:pos="851"/>
        </w:tabs>
        <w:spacing w:after="0" w:line="240" w:lineRule="auto"/>
        <w:ind w:firstLine="720"/>
        <w:rPr>
          <w:rFonts w:ascii="Times New Roman" w:hAnsi="Times New Roman" w:cs="Times New Roman"/>
          <w:sz w:val="24"/>
          <w:szCs w:val="24"/>
          <w:lang w:val="lt-LT"/>
        </w:rPr>
      </w:pPr>
    </w:p>
    <w:p w14:paraId="66CAE1E3" w14:textId="77777777" w:rsidR="006261B3" w:rsidRDefault="006261B3" w:rsidP="006261B3">
      <w:pPr>
        <w:tabs>
          <w:tab w:val="left" w:pos="851"/>
        </w:tabs>
        <w:spacing w:after="0" w:line="240" w:lineRule="auto"/>
        <w:ind w:firstLine="720"/>
        <w:rPr>
          <w:rFonts w:ascii="Times New Roman" w:hAnsi="Times New Roman" w:cs="Times New Roman"/>
          <w:sz w:val="24"/>
          <w:szCs w:val="24"/>
          <w:lang w:val="lt-LT"/>
        </w:rPr>
      </w:pPr>
    </w:p>
    <w:p w14:paraId="4DCF71A5" w14:textId="77777777" w:rsidR="006261B3" w:rsidRDefault="006261B3" w:rsidP="006261B3">
      <w:pPr>
        <w:tabs>
          <w:tab w:val="left" w:pos="851"/>
        </w:tabs>
        <w:spacing w:after="0" w:line="240" w:lineRule="auto"/>
        <w:ind w:firstLine="720"/>
        <w:rPr>
          <w:rFonts w:ascii="Times New Roman" w:hAnsi="Times New Roman" w:cs="Times New Roman"/>
          <w:sz w:val="24"/>
          <w:szCs w:val="24"/>
          <w:lang w:val="lt-LT"/>
        </w:rPr>
      </w:pPr>
    </w:p>
    <w:p w14:paraId="19E71F35" w14:textId="77777777" w:rsidR="006261B3" w:rsidRDefault="006261B3" w:rsidP="006261B3">
      <w:pPr>
        <w:tabs>
          <w:tab w:val="left" w:pos="851"/>
        </w:tabs>
        <w:spacing w:after="0" w:line="240" w:lineRule="auto"/>
        <w:ind w:firstLine="720"/>
        <w:rPr>
          <w:rFonts w:ascii="Times New Roman" w:hAnsi="Times New Roman" w:cs="Times New Roman"/>
          <w:sz w:val="24"/>
          <w:szCs w:val="24"/>
          <w:lang w:val="lt-LT"/>
        </w:rPr>
      </w:pPr>
    </w:p>
    <w:p w14:paraId="1FAA90F2" w14:textId="77777777" w:rsidR="006261B3" w:rsidRDefault="006261B3" w:rsidP="006261B3">
      <w:pPr>
        <w:tabs>
          <w:tab w:val="left" w:pos="851"/>
        </w:tabs>
        <w:spacing w:after="0" w:line="240" w:lineRule="auto"/>
        <w:ind w:firstLine="720"/>
        <w:rPr>
          <w:rFonts w:ascii="Times New Roman" w:hAnsi="Times New Roman" w:cs="Times New Roman"/>
          <w:sz w:val="24"/>
          <w:szCs w:val="24"/>
          <w:lang w:val="lt-LT"/>
        </w:rPr>
      </w:pPr>
    </w:p>
    <w:p w14:paraId="7E09281C" w14:textId="77777777" w:rsidR="006261B3" w:rsidRPr="006261B3" w:rsidRDefault="006261B3" w:rsidP="006261B3">
      <w:pPr>
        <w:tabs>
          <w:tab w:val="left" w:pos="851"/>
        </w:tabs>
        <w:spacing w:after="0" w:line="240" w:lineRule="auto"/>
        <w:ind w:firstLine="720"/>
        <w:rPr>
          <w:rFonts w:ascii="Times New Roman" w:hAnsi="Times New Roman" w:cs="Times New Roman"/>
          <w:sz w:val="24"/>
          <w:szCs w:val="24"/>
          <w:lang w:val="lt-LT"/>
        </w:rPr>
      </w:pPr>
    </w:p>
    <w:p w14:paraId="44F72EE7" w14:textId="77777777"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59CF339A" w14:textId="77777777" w:rsidR="00222BED" w:rsidRPr="006261B3" w:rsidRDefault="00222BED" w:rsidP="006261B3">
      <w:pPr>
        <w:tabs>
          <w:tab w:val="left" w:pos="851"/>
        </w:tabs>
        <w:spacing w:after="0" w:line="240" w:lineRule="auto"/>
        <w:ind w:firstLine="720"/>
        <w:rPr>
          <w:rFonts w:ascii="Times New Roman" w:hAnsi="Times New Roman" w:cs="Times New Roman"/>
          <w:sz w:val="24"/>
          <w:szCs w:val="24"/>
          <w:lang w:val="lt-LT"/>
        </w:rPr>
      </w:pPr>
    </w:p>
    <w:p w14:paraId="5579F7AA"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Išorinis komponentas</w:t>
      </w:r>
    </w:p>
    <w:p w14:paraId="1C2636BC"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išorinis komponentas užtikrina integraciją tarp Lietuvos CVCA, kitų ES šalių narių SPOC bei nacionalinių DVCA. Jo pagrindinis tikslas yra sukoordinuoti komunikaciją bei užmegzti ryšį tarp skirtingų sistemų pagal SPOC sistemai taikomus saugumo reikalavimus. Kadangi kai kurios SPOC sistemos operacijos yra asinchroninės, t.y. atsakymai grįžta ne iš karto pateikus užklausą, komunikacijos koordinavimo uždavinys yra itin svarbus. Techniškai šis komponentas – demilitarizuotoje (DMZ) tinklo zonoje patalpintas komunikacinis </w:t>
      </w:r>
      <w:r w:rsidRPr="006261B3">
        <w:rPr>
          <w:rFonts w:ascii="Times New Roman" w:hAnsi="Times New Roman" w:cs="Times New Roman"/>
          <w:i/>
          <w:iCs/>
          <w:sz w:val="24"/>
          <w:szCs w:val="24"/>
          <w:lang w:val="lt-LT"/>
        </w:rPr>
        <w:t>proxy</w:t>
      </w:r>
      <w:r w:rsidRPr="006261B3">
        <w:rPr>
          <w:rFonts w:ascii="Times New Roman" w:hAnsi="Times New Roman" w:cs="Times New Roman"/>
          <w:sz w:val="24"/>
          <w:szCs w:val="24"/>
          <w:lang w:val="lt-LT"/>
        </w:rPr>
        <w:t xml:space="preserve"> serveris, skirtas izoliuoti vidinius SPOC sistemos komponentus nuo į sistemą patenkančių informacijos srautų.</w:t>
      </w:r>
    </w:p>
    <w:p w14:paraId="010E9634"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išorinis komponentas neturi grafinės naudotojo sąsajos, kadangi nepateikia konkrečių funkcijų naudotojams. SPOC išorinis komponentas taip pat nerealizuoja informacijos užklausų apdorojimo logikos (angl. </w:t>
      </w:r>
      <w:r w:rsidRPr="006261B3">
        <w:rPr>
          <w:rFonts w:ascii="Times New Roman" w:hAnsi="Times New Roman" w:cs="Times New Roman"/>
          <w:i/>
          <w:iCs/>
          <w:sz w:val="24"/>
          <w:szCs w:val="24"/>
          <w:lang w:val="lt-LT"/>
        </w:rPr>
        <w:t>business logic</w:t>
      </w:r>
      <w:r w:rsidRPr="006261B3">
        <w:rPr>
          <w:rFonts w:ascii="Times New Roman" w:hAnsi="Times New Roman" w:cs="Times New Roman"/>
          <w:sz w:val="24"/>
          <w:szCs w:val="24"/>
          <w:lang w:val="lt-LT"/>
        </w:rPr>
        <w:t>) ir atlieka tik su užklausą teikiančio komponento autentifikacija susijusius veiksmus.</w:t>
      </w:r>
    </w:p>
    <w:p w14:paraId="27A4FC71"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Techniškai šis komponentas yra pagrįstas tinklinėmis (</w:t>
      </w:r>
      <w:r w:rsidRPr="006261B3">
        <w:rPr>
          <w:rFonts w:ascii="Times New Roman" w:hAnsi="Times New Roman" w:cs="Times New Roman"/>
          <w:i/>
          <w:iCs/>
          <w:sz w:val="24"/>
          <w:szCs w:val="24"/>
          <w:lang w:val="lt-LT"/>
        </w:rPr>
        <w:t>web</w:t>
      </w:r>
      <w:r w:rsidRPr="006261B3">
        <w:rPr>
          <w:rFonts w:ascii="Times New Roman" w:hAnsi="Times New Roman" w:cs="Times New Roman"/>
          <w:sz w:val="24"/>
          <w:szCs w:val="24"/>
          <w:lang w:val="lt-LT"/>
        </w:rPr>
        <w:t>) technologijomis ir yra sudarytas iš trijų esminių tinklinių sąsajų komponentų:</w:t>
      </w:r>
    </w:p>
    <w:p w14:paraId="7F7553B0"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Išorinės WS sąsajos su kitų ES šalių SPOC;</w:t>
      </w:r>
    </w:p>
    <w:p w14:paraId="53188E12"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Išorinės WS sąsajos su nacionalinėmis DVCA;</w:t>
      </w:r>
    </w:p>
    <w:p w14:paraId="700F25D2"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Vidinės sąsajos su SPOC Valdymo komponentu;</w:t>
      </w:r>
    </w:p>
    <w:p w14:paraId="102AEEF7"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bookmarkStart w:id="28" w:name="_Toc446080482"/>
      <w:r w:rsidRPr="006261B3">
        <w:rPr>
          <w:rFonts w:ascii="Times New Roman" w:hAnsi="Times New Roman" w:cs="Times New Roman"/>
          <w:b/>
          <w:bCs/>
          <w:sz w:val="24"/>
          <w:szCs w:val="24"/>
          <w:lang w:val="lt-LT"/>
        </w:rPr>
        <w:t xml:space="preserve">SPOC išorinio komponento </w:t>
      </w:r>
      <w:r w:rsidRPr="006261B3">
        <w:rPr>
          <w:rFonts w:ascii="Times New Roman" w:hAnsi="Times New Roman" w:cs="Times New Roman"/>
          <w:b/>
          <w:bCs/>
          <w:i/>
          <w:iCs/>
          <w:sz w:val="24"/>
          <w:szCs w:val="24"/>
          <w:lang w:val="lt-LT"/>
        </w:rPr>
        <w:t>web</w:t>
      </w:r>
      <w:r w:rsidRPr="006261B3">
        <w:rPr>
          <w:rFonts w:ascii="Times New Roman" w:hAnsi="Times New Roman" w:cs="Times New Roman"/>
          <w:b/>
          <w:bCs/>
          <w:sz w:val="24"/>
          <w:szCs w:val="24"/>
          <w:lang w:val="lt-LT"/>
        </w:rPr>
        <w:t xml:space="preserve"> serveris</w:t>
      </w:r>
      <w:bookmarkEnd w:id="28"/>
    </w:p>
    <w:p w14:paraId="52FE18D2"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išoriniame komponente talpinamos tinklinės paslaugos veikia web serveryje. Šis web serveris be pagrindinių tinklinių paslaugų pateikimo operacijų HTTP protokolu į internetą pateikia šiuos resursus:</w:t>
      </w:r>
    </w:p>
    <w:p w14:paraId="790B19DC"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lastRenderedPageBreak/>
        <w:t>Sąsajos su kitų šalių SPOC sistemomis WS WSDL failą;</w:t>
      </w:r>
    </w:p>
    <w:p w14:paraId="39EC0A81"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SPOC sertifikatų CRL failą;</w:t>
      </w:r>
    </w:p>
    <w:p w14:paraId="2F5BBAD3"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išorinio komponento web serveryje nėra pateikiama naudotojams prieinamų funkcijų.</w:t>
      </w:r>
    </w:p>
    <w:p w14:paraId="3FFB8621"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bookmarkStart w:id="29" w:name="_Toc446080483"/>
      <w:r w:rsidRPr="006261B3">
        <w:rPr>
          <w:rFonts w:ascii="Times New Roman" w:hAnsi="Times New Roman" w:cs="Times New Roman"/>
          <w:b/>
          <w:bCs/>
          <w:sz w:val="24"/>
          <w:szCs w:val="24"/>
          <w:lang w:val="lt-LT"/>
        </w:rPr>
        <w:t xml:space="preserve">SPOC valdymo </w:t>
      </w:r>
      <w:bookmarkEnd w:id="29"/>
      <w:r w:rsidRPr="006261B3">
        <w:rPr>
          <w:rFonts w:ascii="Times New Roman" w:hAnsi="Times New Roman" w:cs="Times New Roman"/>
          <w:b/>
          <w:bCs/>
          <w:sz w:val="24"/>
          <w:szCs w:val="24"/>
          <w:lang w:val="lt-LT"/>
        </w:rPr>
        <w:t>programinė įranga (PĮ)</w:t>
      </w:r>
    </w:p>
    <w:p w14:paraId="7C4F55C6"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Architektūriškai SPOC valdymo PĮ - tai SPOC valdymo komponento klientas, kuris naudojasi SPOC valdymo komponento teikiamomis SPOC sistemos valdymo funkcijomis ir pateikia naudotojo sąsają per internetinę naršyklę sistemos valdymui. Šis komponentas yra skirtas SPOC naudotojams (operatoriams bei administratoriams) bei pateikia šias SPOC sistemos valdymo funkcijas:</w:t>
      </w:r>
    </w:p>
    <w:p w14:paraId="0A9A74DC" w14:textId="77777777" w:rsidR="00222BED" w:rsidRPr="006261B3" w:rsidRDefault="00222BED" w:rsidP="006261B3">
      <w:pPr>
        <w:pStyle w:val="Sraopastraipa"/>
        <w:numPr>
          <w:ilvl w:val="0"/>
          <w:numId w:val="42"/>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sistemos naudotojų valdymą,</w:t>
      </w:r>
    </w:p>
    <w:p w14:paraId="6281CD00" w14:textId="77777777" w:rsidR="00222BED" w:rsidRPr="006261B3" w:rsidRDefault="00222BED" w:rsidP="006261B3">
      <w:pPr>
        <w:pStyle w:val="Sraopastraipa"/>
        <w:numPr>
          <w:ilvl w:val="0"/>
          <w:numId w:val="42"/>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teisių valdymą,</w:t>
      </w:r>
    </w:p>
    <w:p w14:paraId="28A251DE" w14:textId="77777777" w:rsidR="00222BED" w:rsidRPr="006261B3" w:rsidRDefault="00222BED" w:rsidP="006261B3">
      <w:pPr>
        <w:pStyle w:val="Sraopastraipa"/>
        <w:numPr>
          <w:ilvl w:val="0"/>
          <w:numId w:val="42"/>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CA ir DVCA registraciją,</w:t>
      </w:r>
    </w:p>
    <w:p w14:paraId="762B7575" w14:textId="77777777" w:rsidR="00222BED" w:rsidRPr="006261B3" w:rsidRDefault="00222BED" w:rsidP="006261B3">
      <w:pPr>
        <w:pStyle w:val="Sraopastraipa"/>
        <w:numPr>
          <w:ilvl w:val="0"/>
          <w:numId w:val="42"/>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žinučių gavimą, siuntimą ir valdymą</w:t>
      </w:r>
    </w:p>
    <w:p w14:paraId="7C45F21A" w14:textId="77777777" w:rsidR="00222BED" w:rsidRPr="006261B3" w:rsidRDefault="00222BED" w:rsidP="006261B3">
      <w:pPr>
        <w:pStyle w:val="Sraopastraipa"/>
        <w:numPr>
          <w:ilvl w:val="0"/>
          <w:numId w:val="42"/>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kitas funkcijas.</w:t>
      </w:r>
    </w:p>
    <w:p w14:paraId="34638181" w14:textId="71DB63FA"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Prieiga prie SPOC valdymo PĮ komponento reikalauja autentifikacijos. SPOC valdymo komponento komunikacija su SPOC valdymo PĮ yra šifruojamas naudojant SSL šifravimo kanalą.</w:t>
      </w:r>
    </w:p>
    <w:p w14:paraId="686C0422"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bookmarkStart w:id="30" w:name="_Toc446080484"/>
      <w:r w:rsidRPr="006261B3">
        <w:rPr>
          <w:rFonts w:ascii="Times New Roman" w:hAnsi="Times New Roman" w:cs="Times New Roman"/>
          <w:b/>
          <w:bCs/>
          <w:sz w:val="24"/>
          <w:szCs w:val="24"/>
          <w:lang w:val="lt-LT"/>
        </w:rPr>
        <w:t>SPOC valdymo komponentas</w:t>
      </w:r>
      <w:bookmarkEnd w:id="30"/>
    </w:p>
    <w:p w14:paraId="54D1DA3E"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Iš esmės SPOC valdymo komponentas realizuoja naudotojo sąsają, kuri yra skirta SPOC valdymo PĮ komponento funkcionavimui. Papildomai šis komponentas realizuoja automatines sistemos veiklas (laiko valdymo, auditavimo, pranešimų siuntimo ir kt. funkcijas).</w:t>
      </w:r>
    </w:p>
    <w:p w14:paraId="11AE71A4"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valdymo komponentas sukurtas standartinės OpenSCDP komponento pagrindu, kuris adaptuotas Lietuvos SPOC sistemos reikalavimams. OpenSCDP komponentas realizuoja tikrinimo ir veikimo procedūras pagal </w:t>
      </w:r>
      <w:bookmarkStart w:id="31" w:name="OLE_LINK20"/>
      <w:bookmarkStart w:id="32" w:name="OLE_LINK21"/>
      <w:r w:rsidRPr="006261B3">
        <w:rPr>
          <w:rFonts w:ascii="Times New Roman" w:hAnsi="Times New Roman" w:cs="Times New Roman"/>
          <w:sz w:val="24"/>
          <w:szCs w:val="24"/>
          <w:lang w:val="lt-LT"/>
        </w:rPr>
        <w:t xml:space="preserve">BSI TR-3139 </w:t>
      </w:r>
      <w:bookmarkEnd w:id="31"/>
      <w:bookmarkEnd w:id="32"/>
      <w:r w:rsidRPr="006261B3">
        <w:rPr>
          <w:rFonts w:ascii="Times New Roman" w:hAnsi="Times New Roman" w:cs="Times New Roman"/>
          <w:sz w:val="24"/>
          <w:szCs w:val="24"/>
          <w:lang w:val="lt-LT"/>
        </w:rPr>
        <w:t>ir ČSN 36 9791 ed. A (ČSN 36 9791:2018) standartus. Šis komponentas yra neatsiejama (integrali) SPOC vidinio komponento dalis. SPOC valdymo komponentas per OpenSCDP komponentą realizuoja visą logiką, kuri yra aprašyta BSI TR-3139 standarte.</w:t>
      </w:r>
    </w:p>
    <w:p w14:paraId="6C4A5061"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valdymo komponentas, būdamas </w:t>
      </w:r>
      <w:r w:rsidRPr="006261B3">
        <w:rPr>
          <w:rFonts w:ascii="Times New Roman" w:hAnsi="Times New Roman" w:cs="Times New Roman"/>
          <w:i/>
          <w:iCs/>
          <w:sz w:val="24"/>
          <w:szCs w:val="24"/>
          <w:lang w:val="lt-LT"/>
        </w:rPr>
        <w:t>web</w:t>
      </w:r>
      <w:r w:rsidRPr="006261B3">
        <w:rPr>
          <w:rFonts w:ascii="Times New Roman" w:hAnsi="Times New Roman" w:cs="Times New Roman"/>
          <w:sz w:val="24"/>
          <w:szCs w:val="24"/>
          <w:lang w:val="lt-LT"/>
        </w:rPr>
        <w:t xml:space="preserve"> aplikacija pateikia grafinę duomenų, esančių SPOC sistemoje tvarkymui ir valdymui, sąsają. Papildomai šis komponentas užtikrina sąryšį su SPOC išoriniu komponentu bei inicijuoja duomenų mainus su juo. </w:t>
      </w:r>
    </w:p>
    <w:p w14:paraId="79FA9517"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valdymo komponentas užtikrina duomenų (sertifikatų, CR, kitų žinučių) srautų valdymą, atlieka tiesioginį duomenų tvarkymą SPOC DB, taip pat pateikia naudotojo sąsają (funkcijų rinkinį) SPOC valdymo PĮ komponentui. </w:t>
      </w:r>
    </w:p>
    <w:p w14:paraId="1D369D4D"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Šis komponentas susideda iš kelių funkcinių modulių, kurių kiekvienas yra skirtas specifiniams darbams su sistema atlikti:</w:t>
      </w:r>
    </w:p>
    <w:p w14:paraId="533D55E2"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Naudotojų administravimo modulio;</w:t>
      </w:r>
    </w:p>
    <w:p w14:paraId="7314A0CE"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CA registravimo ir tvarkymo modulio;</w:t>
      </w:r>
    </w:p>
    <w:p w14:paraId="7969F9A4"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Pranešimų valdymo modulio</w:t>
      </w:r>
    </w:p>
    <w:p w14:paraId="719AFDB0"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Žinučių valdymo modulio;</w:t>
      </w:r>
    </w:p>
    <w:p w14:paraId="6203458B"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Užsienio CR valdymo modulio;</w:t>
      </w:r>
    </w:p>
    <w:p w14:paraId="328FC209"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Nacionalinių CR valdymo modulio;</w:t>
      </w:r>
    </w:p>
    <w:p w14:paraId="50139342"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Audito peržiūros modulio;</w:t>
      </w:r>
    </w:p>
    <w:p w14:paraId="1A052977"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bookmarkStart w:id="33" w:name="_Toc446080485"/>
      <w:r w:rsidRPr="006261B3">
        <w:rPr>
          <w:rFonts w:ascii="Times New Roman" w:hAnsi="Times New Roman" w:cs="Times New Roman"/>
          <w:b/>
          <w:bCs/>
          <w:sz w:val="24"/>
          <w:szCs w:val="24"/>
          <w:lang w:val="lt-LT"/>
        </w:rPr>
        <w:t>SPOC ir CA integravimo komponentas</w:t>
      </w:r>
      <w:bookmarkEnd w:id="33"/>
    </w:p>
    <w:p w14:paraId="4DC8A841" w14:textId="0897548D"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CA ir CVCA integravimo komponentas (toliau integravimo komponentas) užtikrina duomenų perdavimo sąsają su SPOC valdymo komponentu ir sąsajas (automatines arba rankines) su CVCA programine įranga bei SPOC CA programine įranga (Enigma Centaur CCK).</w:t>
      </w:r>
    </w:p>
    <w:p w14:paraId="25EB9D35" w14:textId="77777777" w:rsidR="00222BED" w:rsidRPr="006261B3" w:rsidRDefault="00222BED" w:rsidP="006261B3">
      <w:pPr>
        <w:numPr>
          <w:ilvl w:val="2"/>
          <w:numId w:val="40"/>
        </w:numPr>
        <w:tabs>
          <w:tab w:val="left" w:pos="851"/>
        </w:tabs>
        <w:spacing w:after="0" w:line="240" w:lineRule="auto"/>
        <w:ind w:left="0" w:firstLine="720"/>
        <w:rPr>
          <w:rFonts w:ascii="Times New Roman" w:hAnsi="Times New Roman" w:cs="Times New Roman"/>
          <w:b/>
          <w:bCs/>
          <w:sz w:val="24"/>
          <w:szCs w:val="24"/>
          <w:lang w:val="lt-LT"/>
        </w:rPr>
      </w:pPr>
      <w:bookmarkStart w:id="34" w:name="_Toc446080486"/>
      <w:r w:rsidRPr="006261B3">
        <w:rPr>
          <w:rFonts w:ascii="Times New Roman" w:hAnsi="Times New Roman" w:cs="Times New Roman"/>
          <w:b/>
          <w:bCs/>
          <w:sz w:val="24"/>
          <w:szCs w:val="24"/>
          <w:lang w:val="lt-LT"/>
        </w:rPr>
        <w:t>SPOC CA komponentas</w:t>
      </w:r>
      <w:bookmarkEnd w:id="34"/>
    </w:p>
    <w:p w14:paraId="5AFABAB1"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SPOC CA komponentas yra skirtas sukurti ir administruoti SPOC CA, t.y. šioje komponentėje sugeneruoti sertifikatai naudojami užtikrinti kanalo saugumą tarp kitų ES šalių SPOC sistemų ir Lietuvos SPOC sistemos. Naudojant šį komponentą generuojami ir saugojami reikiami privatūs raktai (naudojama HSM įranga). </w:t>
      </w:r>
    </w:p>
    <w:p w14:paraId="5FD8FA3B" w14:textId="77777777" w:rsidR="00222BED" w:rsidRPr="006261B3"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(kaip numatyta ČSN standarte) naudoja šiuos sertifikatus ir jų valdymui naudojamas SPOC CA komponentas:</w:t>
      </w:r>
    </w:p>
    <w:p w14:paraId="220492C9"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SPOC CA šakninis sertifikatas (</w:t>
      </w:r>
      <w:r w:rsidRPr="006261B3">
        <w:rPr>
          <w:rFonts w:ascii="Times New Roman" w:hAnsi="Times New Roman" w:cs="Times New Roman"/>
          <w:i/>
          <w:iCs/>
          <w:sz w:val="24"/>
          <w:szCs w:val="24"/>
          <w:lang w:val="lt-LT"/>
        </w:rPr>
        <w:t>Root certificate</w:t>
      </w:r>
      <w:r w:rsidRPr="006261B3">
        <w:rPr>
          <w:rFonts w:ascii="Times New Roman" w:hAnsi="Times New Roman" w:cs="Times New Roman"/>
          <w:sz w:val="24"/>
          <w:szCs w:val="24"/>
          <w:lang w:val="lt-LT"/>
        </w:rPr>
        <w:t>);</w:t>
      </w:r>
    </w:p>
    <w:p w14:paraId="247FEB55"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SPOC TLS kliento sertifikatas (</w:t>
      </w:r>
      <w:r w:rsidRPr="006261B3">
        <w:rPr>
          <w:rFonts w:ascii="Times New Roman" w:hAnsi="Times New Roman" w:cs="Times New Roman"/>
          <w:i/>
          <w:iCs/>
          <w:sz w:val="24"/>
          <w:szCs w:val="24"/>
          <w:lang w:val="lt-LT"/>
        </w:rPr>
        <w:t>Client certificate</w:t>
      </w:r>
      <w:r w:rsidRPr="006261B3">
        <w:rPr>
          <w:rFonts w:ascii="Times New Roman" w:hAnsi="Times New Roman" w:cs="Times New Roman"/>
          <w:sz w:val="24"/>
          <w:szCs w:val="24"/>
          <w:lang w:val="lt-LT"/>
        </w:rPr>
        <w:t>);</w:t>
      </w:r>
    </w:p>
    <w:p w14:paraId="5A73EC33" w14:textId="77777777" w:rsidR="00222BED" w:rsidRPr="006261B3" w:rsidRDefault="00222BED" w:rsidP="006261B3">
      <w:pPr>
        <w:pStyle w:val="Sraopastraipa"/>
        <w:numPr>
          <w:ilvl w:val="0"/>
          <w:numId w:val="41"/>
        </w:numPr>
        <w:spacing w:after="0" w:line="240" w:lineRule="auto"/>
        <w:ind w:left="0" w:firstLine="720"/>
        <w:jc w:val="left"/>
        <w:rPr>
          <w:rFonts w:ascii="Times New Roman" w:hAnsi="Times New Roman" w:cs="Times New Roman"/>
          <w:sz w:val="24"/>
          <w:szCs w:val="24"/>
          <w:lang w:val="lt-LT"/>
        </w:rPr>
      </w:pPr>
      <w:r w:rsidRPr="006261B3">
        <w:rPr>
          <w:rFonts w:ascii="Times New Roman" w:hAnsi="Times New Roman" w:cs="Times New Roman"/>
          <w:sz w:val="24"/>
          <w:szCs w:val="24"/>
          <w:lang w:val="lt-LT"/>
        </w:rPr>
        <w:t>SPOC TLS serverio sertifikatas (</w:t>
      </w:r>
      <w:r w:rsidRPr="006261B3">
        <w:rPr>
          <w:rFonts w:ascii="Times New Roman" w:hAnsi="Times New Roman" w:cs="Times New Roman"/>
          <w:i/>
          <w:iCs/>
          <w:sz w:val="24"/>
          <w:szCs w:val="24"/>
          <w:lang w:val="lt-LT"/>
        </w:rPr>
        <w:t>Server certificate</w:t>
      </w:r>
      <w:r w:rsidRPr="006261B3">
        <w:rPr>
          <w:rFonts w:ascii="Times New Roman" w:hAnsi="Times New Roman" w:cs="Times New Roman"/>
          <w:sz w:val="24"/>
          <w:szCs w:val="24"/>
          <w:lang w:val="lt-LT"/>
        </w:rPr>
        <w:t>);</w:t>
      </w:r>
    </w:p>
    <w:p w14:paraId="2EA2CA3B" w14:textId="309359E6" w:rsidR="00222BED" w:rsidRDefault="00222BED" w:rsidP="006261B3">
      <w:pPr>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lastRenderedPageBreak/>
        <w:t xml:space="preserve">SPOC CA komponentas realizuotas egzistuojančios Enigma Centaur CCK programinės įrangos pagrindu. </w:t>
      </w:r>
    </w:p>
    <w:p w14:paraId="0FB22D47" w14:textId="77777777" w:rsidR="006261B3" w:rsidRPr="006261B3" w:rsidRDefault="006261B3" w:rsidP="006261B3">
      <w:pPr>
        <w:spacing w:after="0" w:line="240" w:lineRule="auto"/>
        <w:ind w:firstLine="720"/>
        <w:rPr>
          <w:rFonts w:ascii="Times New Roman" w:hAnsi="Times New Roman" w:cs="Times New Roman"/>
          <w:sz w:val="24"/>
          <w:szCs w:val="24"/>
          <w:lang w:val="lt-LT"/>
        </w:rPr>
      </w:pPr>
    </w:p>
    <w:p w14:paraId="2A121A0E" w14:textId="0B1FD34D" w:rsidR="00222BED" w:rsidRPr="006261B3" w:rsidRDefault="00222BED" w:rsidP="006261B3">
      <w:pPr>
        <w:numPr>
          <w:ilvl w:val="0"/>
          <w:numId w:val="40"/>
        </w:numPr>
        <w:tabs>
          <w:tab w:val="left" w:pos="851"/>
        </w:tabs>
        <w:spacing w:after="0" w:line="240" w:lineRule="auto"/>
        <w:ind w:left="0" w:firstLine="720"/>
        <w:jc w:val="center"/>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PASLAUGŲ SPECIFIKACIJA</w:t>
      </w:r>
    </w:p>
    <w:p w14:paraId="137E5F3C" w14:textId="77777777" w:rsidR="00222BED" w:rsidRPr="006261B3" w:rsidRDefault="00222BED" w:rsidP="006261B3">
      <w:pPr>
        <w:numPr>
          <w:ilvl w:val="1"/>
          <w:numId w:val="40"/>
        </w:numPr>
        <w:tabs>
          <w:tab w:val="clear" w:pos="1000"/>
          <w:tab w:val="num" w:pos="792"/>
          <w:tab w:val="left" w:pos="851"/>
        </w:tabs>
        <w:spacing w:after="0" w:line="240" w:lineRule="auto"/>
        <w:ind w:left="0" w:firstLine="720"/>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SPOC sistemos (testinė ir produkcinė aplinka) priežiūrą sudaro:</w:t>
      </w:r>
    </w:p>
    <w:p w14:paraId="72183398"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programinės ir techninės įrangos sutrikimo priežasčių diagnostika;</w:t>
      </w:r>
    </w:p>
    <w:p w14:paraId="25805444"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programinės ir techninės įrangos atnaujinimų ir pataisymų diegimas;</w:t>
      </w:r>
    </w:p>
    <w:p w14:paraId="472D8CE5"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dokumentacijos rengimas;</w:t>
      </w:r>
    </w:p>
    <w:p w14:paraId="3982FF04"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SPOC naudotojų konsultavimas telefonu ir elektroniniu paštu sistemos eksploatacijos klausimais teikiamos darbo dienomis nuo 7.30 val. iki 17.00 val.</w:t>
      </w:r>
    </w:p>
    <w:p w14:paraId="717DFD6A"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Normalaus sistemos veikimo atstatymas:</w:t>
      </w:r>
    </w:p>
    <w:p w14:paraId="096FB7DC" w14:textId="77777777" w:rsidR="00222BED" w:rsidRPr="006261B3" w:rsidRDefault="00222BED" w:rsidP="006261B3">
      <w:pPr>
        <w:numPr>
          <w:ilvl w:val="3"/>
          <w:numId w:val="40"/>
        </w:numPr>
        <w:tabs>
          <w:tab w:val="clear" w:pos="1800"/>
          <w:tab w:val="num" w:pos="1843"/>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Reagavimo laikas, užregistravus gedimą, paslaugos teikėjo informavimo sistemoje neturi viršyti 1 valandos;</w:t>
      </w:r>
    </w:p>
    <w:p w14:paraId="1DED1936" w14:textId="77777777" w:rsidR="00222BED" w:rsidRPr="006261B3" w:rsidRDefault="00222BED" w:rsidP="006261B3">
      <w:pPr>
        <w:numPr>
          <w:ilvl w:val="3"/>
          <w:numId w:val="40"/>
        </w:numPr>
        <w:tabs>
          <w:tab w:val="clear" w:pos="1800"/>
          <w:tab w:val="num" w:pos="1843"/>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Maksimalus įrangos dalinio funkcionalumo atstatymo laikas, kai vartotojai dėl gedimo negali tęsti darbo neturi viršyti 4 valandų;</w:t>
      </w:r>
    </w:p>
    <w:p w14:paraId="2BECFF7D" w14:textId="77777777" w:rsidR="00222BED" w:rsidRPr="006261B3" w:rsidRDefault="00222BED" w:rsidP="006261B3">
      <w:pPr>
        <w:numPr>
          <w:ilvl w:val="3"/>
          <w:numId w:val="40"/>
        </w:numPr>
        <w:tabs>
          <w:tab w:val="clear" w:pos="1800"/>
          <w:tab w:val="num" w:pos="1843"/>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Maksimalus įrangos visiško funkcionalumo atstatymo laikas, kai vartotojai dėl gedimo negali dirbti pilnu pajėgumu neturi viršyti 72 valandų;</w:t>
      </w:r>
    </w:p>
    <w:p w14:paraId="3E123434"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Sutrikimų prevencijos rekomendacijų pateikimas ir įgyvendinimas;</w:t>
      </w:r>
    </w:p>
    <w:p w14:paraId="5B6987E7" w14:textId="77777777" w:rsidR="00222BED" w:rsidRPr="006261B3" w:rsidRDefault="00222BED" w:rsidP="006261B3">
      <w:pPr>
        <w:numPr>
          <w:ilvl w:val="2"/>
          <w:numId w:val="40"/>
        </w:numPr>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Programinės įrangos pateikimas sprendimo optimizavimui ar greitaveikai užtikrinti;</w:t>
      </w:r>
    </w:p>
    <w:p w14:paraId="7A8FA106" w14:textId="77777777" w:rsidR="00222BED" w:rsidRPr="006261B3" w:rsidRDefault="00222BED" w:rsidP="006261B3">
      <w:pPr>
        <w:pStyle w:val="Sraopastraipa"/>
        <w:numPr>
          <w:ilvl w:val="2"/>
          <w:numId w:val="40"/>
        </w:numPr>
        <w:tabs>
          <w:tab w:val="left" w:pos="57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Pasikeitus SPOC veiklą reglamentuojantiems teisės aktams, paslaugos teikėjas privalo pateikti reikalingų atlikti SPOC tobulinimo/keitimo darbų sąrašą.</w:t>
      </w:r>
    </w:p>
    <w:p w14:paraId="732169E6" w14:textId="77777777" w:rsidR="00222BED" w:rsidRPr="006261B3" w:rsidRDefault="00222BED" w:rsidP="006261B3">
      <w:pPr>
        <w:pStyle w:val="Sraopastraipa"/>
        <w:numPr>
          <w:ilvl w:val="2"/>
          <w:numId w:val="40"/>
        </w:numPr>
        <w:tabs>
          <w:tab w:val="left" w:pos="57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Perkančiosios organizacijos atsakingi asmenys pateikia paraišką el. paštu, telefonu ar HELP DESK priemonėmis paslaugų teikėjo atsakingiems asmenims. Įgalioti paslaugų Teikėjo ir perkančiosios organizacijos specialistai suderina reikalavimų specifikaciją, paslaugų apimtis ir paslaugų Teikėjo specialistų darbo grafiką, įdiegimo ir bandymų procedūras, vartotojų mokymo tvarką (šie susitarimai užfiksuojami raštiškai ir tampa paraiškos priedu).</w:t>
      </w:r>
    </w:p>
    <w:p w14:paraId="63E88D2C" w14:textId="77777777" w:rsidR="00222BED" w:rsidRPr="006261B3" w:rsidRDefault="00222BED" w:rsidP="006261B3">
      <w:pPr>
        <w:pStyle w:val="Sraopastraipa"/>
        <w:numPr>
          <w:ilvl w:val="1"/>
          <w:numId w:val="40"/>
        </w:numPr>
        <w:tabs>
          <w:tab w:val="clear" w:pos="1000"/>
          <w:tab w:val="left" w:pos="570"/>
          <w:tab w:val="num" w:pos="792"/>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Visi pakeitimai prieš diegimą į SPOC produkcinę aplinką turi būti įdiegti į SPOC testinę aplinką ir ištestuoti.</w:t>
      </w:r>
    </w:p>
    <w:p w14:paraId="6B7CAB1F" w14:textId="77777777" w:rsidR="00222BED" w:rsidRPr="006261B3" w:rsidRDefault="00222BED" w:rsidP="006261B3">
      <w:pPr>
        <w:pStyle w:val="Sraopastraipa"/>
        <w:numPr>
          <w:ilvl w:val="1"/>
          <w:numId w:val="40"/>
        </w:numPr>
        <w:tabs>
          <w:tab w:val="clear" w:pos="1000"/>
          <w:tab w:val="left" w:pos="570"/>
          <w:tab w:val="num" w:pos="792"/>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Preliminarus paslaugų kiekis – preliminariai 760 val.</w:t>
      </w:r>
    </w:p>
    <w:p w14:paraId="28BDB1CF" w14:textId="77777777" w:rsidR="00222BED" w:rsidRPr="006261B3" w:rsidRDefault="00222BED" w:rsidP="006261B3">
      <w:pPr>
        <w:tabs>
          <w:tab w:val="left" w:pos="570"/>
        </w:tabs>
        <w:spacing w:after="0" w:line="240" w:lineRule="auto"/>
        <w:ind w:firstLine="720"/>
        <w:rPr>
          <w:rFonts w:ascii="Times New Roman" w:hAnsi="Times New Roman" w:cs="Times New Roman"/>
          <w:sz w:val="24"/>
          <w:szCs w:val="24"/>
          <w:lang w:val="lt-LT"/>
        </w:rPr>
      </w:pPr>
    </w:p>
    <w:p w14:paraId="12316A47" w14:textId="09E8C2FF" w:rsidR="00222BED" w:rsidRPr="006261B3" w:rsidRDefault="00222BED" w:rsidP="006261B3">
      <w:pPr>
        <w:pStyle w:val="Sraopastraipa"/>
        <w:numPr>
          <w:ilvl w:val="0"/>
          <w:numId w:val="40"/>
        </w:numPr>
        <w:spacing w:after="0" w:line="240" w:lineRule="auto"/>
        <w:ind w:left="0" w:firstLine="720"/>
        <w:jc w:val="center"/>
        <w:rPr>
          <w:rFonts w:ascii="Times New Roman" w:hAnsi="Times New Roman" w:cs="Times New Roman"/>
          <w:b/>
          <w:bCs/>
          <w:sz w:val="24"/>
          <w:szCs w:val="24"/>
          <w:lang w:val="lt-LT"/>
        </w:rPr>
      </w:pPr>
      <w:r w:rsidRPr="006261B3">
        <w:rPr>
          <w:rFonts w:ascii="Times New Roman" w:hAnsi="Times New Roman" w:cs="Times New Roman"/>
          <w:b/>
          <w:bCs/>
          <w:sz w:val="24"/>
          <w:szCs w:val="24"/>
          <w:lang w:val="lt-LT"/>
        </w:rPr>
        <w:t>REIKALAVIMAI PASLAUGOMS</w:t>
      </w:r>
    </w:p>
    <w:p w14:paraId="0CC6DB38" w14:textId="20465523" w:rsidR="00222BED" w:rsidRPr="007E0736" w:rsidRDefault="00222BED" w:rsidP="007E0736">
      <w:pPr>
        <w:pStyle w:val="Sraopastraipa"/>
        <w:numPr>
          <w:ilvl w:val="1"/>
          <w:numId w:val="40"/>
        </w:numPr>
        <w:tabs>
          <w:tab w:val="clear" w:pos="1000"/>
          <w:tab w:val="num" w:pos="-4395"/>
          <w:tab w:val="left" w:pos="851"/>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Paslaugos teikiamos darbo dienomis pagal perkančiosios organizacijos poreikį.</w:t>
      </w:r>
      <w:r w:rsidR="0064391D" w:rsidRPr="0064391D">
        <w:rPr>
          <w:rFonts w:ascii="Times New Roman" w:hAnsi="Times New Roman" w:cs="Times New Roman"/>
          <w:sz w:val="24"/>
          <w:szCs w:val="24"/>
          <w:lang w:val="lt-LT"/>
        </w:rPr>
        <w:t xml:space="preserve"> </w:t>
      </w:r>
      <w:r w:rsidR="0064391D">
        <w:rPr>
          <w:rFonts w:ascii="Times New Roman" w:hAnsi="Times New Roman" w:cs="Times New Roman"/>
          <w:sz w:val="24"/>
          <w:szCs w:val="24"/>
          <w:lang w:val="lt-LT"/>
        </w:rPr>
        <w:t>Vykdydamas sutartį pa</w:t>
      </w:r>
      <w:r w:rsidR="0064391D" w:rsidRPr="008D74EF">
        <w:rPr>
          <w:rFonts w:ascii="Times New Roman" w:hAnsi="Times New Roman" w:cs="Times New Roman"/>
          <w:sz w:val="24"/>
          <w:szCs w:val="24"/>
          <w:lang w:val="lt-LT"/>
        </w:rPr>
        <w:t>slaugos teikėjas privalo savo veiksmus derinti su Perkančiąja organizacija</w:t>
      </w:r>
      <w:r w:rsidR="0064391D">
        <w:rPr>
          <w:rFonts w:ascii="Times New Roman" w:hAnsi="Times New Roman" w:cs="Times New Roman"/>
          <w:sz w:val="24"/>
          <w:szCs w:val="24"/>
          <w:lang w:val="lt-LT"/>
        </w:rPr>
        <w:t>.</w:t>
      </w:r>
    </w:p>
    <w:p w14:paraId="43D4BA60" w14:textId="77777777" w:rsidR="00222BED" w:rsidRPr="006261B3" w:rsidRDefault="00222BED" w:rsidP="006261B3">
      <w:pPr>
        <w:pStyle w:val="Sraopastraipa"/>
        <w:numPr>
          <w:ilvl w:val="1"/>
          <w:numId w:val="40"/>
        </w:numPr>
        <w:tabs>
          <w:tab w:val="clear" w:pos="1000"/>
          <w:tab w:val="num" w:pos="-4253"/>
          <w:tab w:val="left" w:pos="851"/>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Kiekvienas kreipinys paslaugoms teikti yra individualiai apskaitomas paslaugų teikėjo informacinėje sistemoje (angl. Help desk). Perkančioji organizacija turi turėti galimybę peržiūrėti jo kreipinių būseną bei įgyvendinimo eigą. Kreipiniai registruojami ir į juos reaguojama šia tvarka:</w:t>
      </w:r>
    </w:p>
    <w:p w14:paraId="52FED635" w14:textId="77777777" w:rsidR="00222BED" w:rsidRPr="006261B3" w:rsidRDefault="00222BED" w:rsidP="006261B3">
      <w:pPr>
        <w:numPr>
          <w:ilvl w:val="2"/>
          <w:numId w:val="40"/>
        </w:numPr>
        <w:tabs>
          <w:tab w:val="left" w:pos="96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Perkančiosios organizacijos įgalioti asmenys praneša apie aptiktą klaidą elektroniniu paštu ir/arba HELP DESK priemonėmis. Jeigu klaida kritinė ir reikalauja skubaus ištaisymo, perkančiosios organizacijos įgalioti asmenys papildomai paskambina paslaugų teikėjo įgaliotiems asmenims;</w:t>
      </w:r>
    </w:p>
    <w:p w14:paraId="156C8739" w14:textId="77777777" w:rsidR="00222BED" w:rsidRPr="006261B3" w:rsidRDefault="00222BED" w:rsidP="006261B3">
      <w:pPr>
        <w:numPr>
          <w:ilvl w:val="2"/>
          <w:numId w:val="40"/>
        </w:numPr>
        <w:tabs>
          <w:tab w:val="left" w:pos="96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Elektroniniu paštu gautas pranešimas apie trūkumą automatiškai užregistruojamas paslaugų teikėjo kreipinių valdymo sistemoje ir jam suteikiamas identifikacinis numeris. Apie tai elektroniniu paštu informuojamas kreipinį išsiuntęs perkančiosios organizacijos atstovas ir įgalioti paslaugų teikėjo asmenys;</w:t>
      </w:r>
    </w:p>
    <w:p w14:paraId="7F8C529F" w14:textId="77777777" w:rsidR="00222BED" w:rsidRPr="006261B3" w:rsidRDefault="00222BED" w:rsidP="006261B3">
      <w:pPr>
        <w:numPr>
          <w:ilvl w:val="2"/>
          <w:numId w:val="40"/>
        </w:numPr>
        <w:tabs>
          <w:tab w:val="left" w:pos="96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Paslaugų teikėjo įgalioti asmenys detalizuoja informaciją apie kreipinį, įvertina kokie yra trūkumai ir sudaro jų pašalinimo grafiką. Grafikas yra suderinamas su perkančiosios organizacijos atstovu. Numatomas įgyvendinimo terminas užfiksuojamas kreipinių valdymo sistemoje;</w:t>
      </w:r>
    </w:p>
    <w:p w14:paraId="454A9173" w14:textId="77777777" w:rsidR="00222BED" w:rsidRPr="006261B3" w:rsidRDefault="00222BED" w:rsidP="006261B3">
      <w:pPr>
        <w:numPr>
          <w:ilvl w:val="2"/>
          <w:numId w:val="40"/>
        </w:numPr>
        <w:tabs>
          <w:tab w:val="left" w:pos="96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Išsprendus kreipinyje nurodytus trūkumus, paslaugų teikėjo atstovas informuoja apie tai perkančiosios organizacijos atstovą elektroniniu paštu. Jeigu klaida kritinė - įranga negali funkcionuoti, paslaugų teikėjas negali vykdyti savo veiklos - ir reikalauja skubaus ištaisymo  paslaugų teikėjo atstovas papildomai paskambina perkančiosios organizacijos atstovui ir informuoja jį apie atliktus darbus;</w:t>
      </w:r>
    </w:p>
    <w:p w14:paraId="58BAD400" w14:textId="77777777" w:rsidR="00222BED" w:rsidRPr="006261B3" w:rsidRDefault="00222BED" w:rsidP="006261B3">
      <w:pPr>
        <w:numPr>
          <w:ilvl w:val="2"/>
          <w:numId w:val="40"/>
        </w:numPr>
        <w:tabs>
          <w:tab w:val="left" w:pos="960"/>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Paslaugų teikėjo įgaliotas asmuo uždaro trūkumą kreipinių valdymo sistemoje ir informuoja apie tai įgaliotus perkančiosios organizacijos atstovus.</w:t>
      </w:r>
    </w:p>
    <w:p w14:paraId="1263DB12" w14:textId="77777777" w:rsidR="00222BED" w:rsidRPr="006261B3" w:rsidRDefault="00222BED" w:rsidP="006261B3">
      <w:pPr>
        <w:autoSpaceDE w:val="0"/>
        <w:autoSpaceDN w:val="0"/>
        <w:adjustRightInd w:val="0"/>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xml:space="preserve">   4.3. Teikėjas arba kitas ūkio subjektas, su kuriuo sudaryta sutartis, jos vykdymui privalo turėti pagalbos tarnybos sistemą (angl. </w:t>
      </w:r>
      <w:r w:rsidRPr="006261B3">
        <w:rPr>
          <w:rFonts w:ascii="Times New Roman" w:hAnsi="Times New Roman" w:cs="Times New Roman"/>
          <w:i/>
          <w:iCs/>
          <w:sz w:val="24"/>
          <w:szCs w:val="24"/>
          <w:lang w:val="lt-LT"/>
        </w:rPr>
        <w:t>Service Desk</w:t>
      </w:r>
      <w:r w:rsidRPr="006261B3">
        <w:rPr>
          <w:rFonts w:ascii="Times New Roman" w:hAnsi="Times New Roman" w:cs="Times New Roman"/>
          <w:sz w:val="24"/>
          <w:szCs w:val="24"/>
          <w:lang w:val="lt-LT"/>
        </w:rPr>
        <w:t xml:space="preserve">), internetu prieinamą perkančiajai organizacijai. Pagalbos tarnybos sistema turi: </w:t>
      </w:r>
    </w:p>
    <w:p w14:paraId="1BD7F791" w14:textId="171EC6E9" w:rsidR="00222BED" w:rsidRPr="006261B3" w:rsidRDefault="00222BED" w:rsidP="006261B3">
      <w:pPr>
        <w:autoSpaceDE w:val="0"/>
        <w:autoSpaceDN w:val="0"/>
        <w:adjustRightInd w:val="0"/>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lastRenderedPageBreak/>
        <w:t>- užtikrinti incidentų, gedimų registravimą, pateikti ataskaitas įvairiais pjūviais (incidentai, problemos ir gedimai privalo būti filtruojami pagal šiuos kriterijus: nepradėta, vykdoma, įvykdyta);</w:t>
      </w:r>
    </w:p>
    <w:p w14:paraId="474127BA" w14:textId="12C18767" w:rsidR="00222BED" w:rsidRPr="006261B3" w:rsidRDefault="00222BED" w:rsidP="006261B3">
      <w:pPr>
        <w:tabs>
          <w:tab w:val="left" w:pos="960"/>
        </w:tabs>
        <w:spacing w:after="0" w:line="240" w:lineRule="auto"/>
        <w:ind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 būti prieinama internetu perkančiosios organizacijos naudotojams.</w:t>
      </w:r>
    </w:p>
    <w:p w14:paraId="2B3ECB93" w14:textId="5B43B11B" w:rsidR="00222BED" w:rsidRPr="006261B3" w:rsidRDefault="00222BED" w:rsidP="006261B3">
      <w:pPr>
        <w:pStyle w:val="Antrats"/>
        <w:ind w:firstLine="720"/>
        <w:rPr>
          <w:rFonts w:ascii="Times New Roman" w:hAnsi="Times New Roman" w:cs="Times New Roman"/>
          <w:sz w:val="24"/>
          <w:szCs w:val="24"/>
          <w:lang w:val="lt-LT"/>
        </w:rPr>
      </w:pPr>
    </w:p>
    <w:p w14:paraId="66859C86" w14:textId="3A81AD41" w:rsidR="00222BED" w:rsidRPr="006261B3" w:rsidRDefault="00222BED" w:rsidP="006261B3">
      <w:pPr>
        <w:pStyle w:val="Sraopastraipa"/>
        <w:numPr>
          <w:ilvl w:val="0"/>
          <w:numId w:val="40"/>
        </w:numPr>
        <w:spacing w:after="0" w:line="240" w:lineRule="auto"/>
        <w:ind w:left="0" w:firstLine="720"/>
        <w:jc w:val="center"/>
        <w:rPr>
          <w:rFonts w:ascii="Times New Roman" w:hAnsi="Times New Roman" w:cs="Times New Roman"/>
          <w:b/>
          <w:bCs/>
          <w:caps/>
          <w:sz w:val="24"/>
          <w:szCs w:val="24"/>
          <w:lang w:val="lt-LT"/>
        </w:rPr>
      </w:pPr>
      <w:r w:rsidRPr="006261B3">
        <w:rPr>
          <w:rFonts w:ascii="Times New Roman" w:hAnsi="Times New Roman" w:cs="Times New Roman"/>
          <w:b/>
          <w:bCs/>
          <w:caps/>
          <w:sz w:val="24"/>
          <w:szCs w:val="24"/>
          <w:lang w:val="lt-LT"/>
        </w:rPr>
        <w:t>BAIGIAMOSIOS NUOSTATOS</w:t>
      </w:r>
    </w:p>
    <w:p w14:paraId="2ED2BAE4" w14:textId="77777777" w:rsidR="00222BED" w:rsidRPr="006261B3" w:rsidRDefault="00222BED" w:rsidP="006261B3">
      <w:pPr>
        <w:pStyle w:val="Sraopastraipa"/>
        <w:numPr>
          <w:ilvl w:val="1"/>
          <w:numId w:val="40"/>
        </w:numPr>
        <w:tabs>
          <w:tab w:val="clear" w:pos="1000"/>
          <w:tab w:val="left" w:pos="851"/>
        </w:tabs>
        <w:spacing w:after="0" w:line="240" w:lineRule="auto"/>
        <w:ind w:left="0" w:firstLine="720"/>
        <w:rPr>
          <w:rFonts w:ascii="Times New Roman" w:hAnsi="Times New Roman" w:cs="Times New Roman"/>
          <w:sz w:val="24"/>
          <w:szCs w:val="24"/>
          <w:lang w:val="lt-LT"/>
        </w:rPr>
      </w:pPr>
      <w:r w:rsidRPr="006261B3">
        <w:rPr>
          <w:rFonts w:ascii="Times New Roman" w:hAnsi="Times New Roman" w:cs="Times New Roman"/>
          <w:sz w:val="24"/>
          <w:szCs w:val="24"/>
          <w:lang w:val="lt-LT"/>
        </w:rPr>
        <w:t>Pagrindinė reikalavimų tenkinimo nuostata: ištaisytos rastos programinės įrangos klaidos, naujai realizuoti (modernizuoti) programinės įrangos funkcionalumai pasikeitus teisės aktams, sauga, patogumas turi būti ne prastesni nei dabartiniai.</w:t>
      </w:r>
    </w:p>
    <w:bookmarkEnd w:id="16"/>
    <w:p w14:paraId="65587A1E" w14:textId="77777777" w:rsidR="00222BED" w:rsidRPr="006261B3" w:rsidRDefault="00222BED" w:rsidP="006261B3">
      <w:pPr>
        <w:spacing w:after="0" w:line="240" w:lineRule="auto"/>
        <w:jc w:val="left"/>
        <w:rPr>
          <w:rFonts w:ascii="Times New Roman" w:hAnsi="Times New Roman" w:cs="Times New Roman"/>
          <w:sz w:val="24"/>
          <w:szCs w:val="24"/>
          <w:lang w:val="lt-LT"/>
        </w:rPr>
      </w:pPr>
    </w:p>
    <w:p w14:paraId="3B9CFFAB" w14:textId="14EADE4B" w:rsidR="0018021B" w:rsidRPr="006261B3" w:rsidRDefault="0018021B" w:rsidP="006261B3">
      <w:pPr>
        <w:spacing w:after="0" w:line="240" w:lineRule="auto"/>
        <w:rPr>
          <w:rFonts w:ascii="Times New Roman" w:hAnsi="Times New Roman" w:cs="Times New Roman"/>
          <w:b/>
          <w:sz w:val="24"/>
          <w:szCs w:val="24"/>
          <w:lang w:val="lt-LT"/>
        </w:rPr>
      </w:pPr>
    </w:p>
    <w:sectPr w:rsidR="0018021B" w:rsidRPr="006261B3" w:rsidSect="008A4860">
      <w:headerReference w:type="default" r:id="rId12"/>
      <w:footerReference w:type="default" r:id="rId13"/>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4D52" w14:textId="77777777" w:rsidR="00006058" w:rsidRDefault="00006058">
      <w:pPr>
        <w:spacing w:after="0" w:line="240" w:lineRule="auto"/>
      </w:pPr>
      <w:r>
        <w:separator/>
      </w:r>
    </w:p>
  </w:endnote>
  <w:endnote w:type="continuationSeparator" w:id="0">
    <w:p w14:paraId="7B7FAA2B" w14:textId="77777777" w:rsidR="00006058" w:rsidRDefault="00006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05904" w14:textId="77777777" w:rsidR="00006058" w:rsidRDefault="00006058">
      <w:pPr>
        <w:spacing w:after="0" w:line="240" w:lineRule="auto"/>
      </w:pPr>
      <w:r>
        <w:separator/>
      </w:r>
    </w:p>
  </w:footnote>
  <w:footnote w:type="continuationSeparator" w:id="0">
    <w:p w14:paraId="3D53D824" w14:textId="77777777" w:rsidR="00006058" w:rsidRDefault="000060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33429B5"/>
    <w:multiLevelType w:val="hybridMultilevel"/>
    <w:tmpl w:val="7BD4EB48"/>
    <w:lvl w:ilvl="0" w:tplc="3E801B88">
      <w:start w:val="2015"/>
      <w:numFmt w:val="bullet"/>
      <w:lvlText w:val="-"/>
      <w:lvlJc w:val="left"/>
      <w:pPr>
        <w:ind w:left="720" w:hanging="360"/>
      </w:pPr>
      <w:rPr>
        <w:rFonts w:ascii="Garamond" w:eastAsia="Calibri"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6FE15E6B"/>
    <w:multiLevelType w:val="hybridMultilevel"/>
    <w:tmpl w:val="EB28F50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7"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773790443">
    <w:abstractNumId w:val="4"/>
  </w:num>
  <w:num w:numId="2" w16cid:durableId="1922325887">
    <w:abstractNumId w:val="3"/>
  </w:num>
  <w:num w:numId="3" w16cid:durableId="127016494">
    <w:abstractNumId w:val="2"/>
  </w:num>
  <w:num w:numId="4" w16cid:durableId="103350528">
    <w:abstractNumId w:val="1"/>
  </w:num>
  <w:num w:numId="5" w16cid:durableId="307126129">
    <w:abstractNumId w:val="0"/>
  </w:num>
  <w:num w:numId="6" w16cid:durableId="435296491">
    <w:abstractNumId w:val="13"/>
  </w:num>
  <w:num w:numId="7" w16cid:durableId="410391099">
    <w:abstractNumId w:val="20"/>
  </w:num>
  <w:num w:numId="8" w16cid:durableId="1415780805">
    <w:abstractNumId w:val="16"/>
  </w:num>
  <w:num w:numId="9" w16cid:durableId="217596851">
    <w:abstractNumId w:val="22"/>
  </w:num>
  <w:num w:numId="10" w16cid:durableId="2020814685">
    <w:abstractNumId w:val="9"/>
  </w:num>
  <w:num w:numId="11" w16cid:durableId="492141280">
    <w:abstractNumId w:val="26"/>
  </w:num>
  <w:num w:numId="12" w16cid:durableId="1275091227">
    <w:abstractNumId w:val="10"/>
  </w:num>
  <w:num w:numId="13" w16cid:durableId="486871271">
    <w:abstractNumId w:val="33"/>
  </w:num>
  <w:num w:numId="14" w16cid:durableId="2026325601">
    <w:abstractNumId w:val="17"/>
  </w:num>
  <w:num w:numId="15" w16cid:durableId="947276479">
    <w:abstractNumId w:val="40"/>
  </w:num>
  <w:num w:numId="16" w16cid:durableId="427040861">
    <w:abstractNumId w:val="14"/>
  </w:num>
  <w:num w:numId="17" w16cid:durableId="651299255">
    <w:abstractNumId w:val="31"/>
  </w:num>
  <w:num w:numId="18" w16cid:durableId="1093477064">
    <w:abstractNumId w:val="23"/>
  </w:num>
  <w:num w:numId="19" w16cid:durableId="484250311">
    <w:abstractNumId w:val="19"/>
  </w:num>
  <w:num w:numId="20" w16cid:durableId="973563150">
    <w:abstractNumId w:val="25"/>
  </w:num>
  <w:num w:numId="21" w16cid:durableId="904529514">
    <w:abstractNumId w:val="34"/>
  </w:num>
  <w:num w:numId="22" w16cid:durableId="1992441944">
    <w:abstractNumId w:val="38"/>
  </w:num>
  <w:num w:numId="23" w16cid:durableId="46533291">
    <w:abstractNumId w:val="11"/>
  </w:num>
  <w:num w:numId="24" w16cid:durableId="1328708885">
    <w:abstractNumId w:val="32"/>
  </w:num>
  <w:num w:numId="25" w16cid:durableId="165825952">
    <w:abstractNumId w:val="12"/>
  </w:num>
  <w:num w:numId="26" w16cid:durableId="51195683">
    <w:abstractNumId w:val="27"/>
  </w:num>
  <w:num w:numId="27" w16cid:durableId="582296242">
    <w:abstractNumId w:val="41"/>
  </w:num>
  <w:num w:numId="28" w16cid:durableId="47190450">
    <w:abstractNumId w:val="8"/>
  </w:num>
  <w:num w:numId="29" w16cid:durableId="1451439296">
    <w:abstractNumId w:val="18"/>
  </w:num>
  <w:num w:numId="30" w16cid:durableId="321469352">
    <w:abstractNumId w:val="42"/>
  </w:num>
  <w:num w:numId="31" w16cid:durableId="1210608534">
    <w:abstractNumId w:val="28"/>
  </w:num>
  <w:num w:numId="32" w16cid:durableId="405422734">
    <w:abstractNumId w:val="6"/>
  </w:num>
  <w:num w:numId="33" w16cid:durableId="790787180">
    <w:abstractNumId w:val="35"/>
  </w:num>
  <w:num w:numId="34" w16cid:durableId="517810954">
    <w:abstractNumId w:val="7"/>
  </w:num>
  <w:num w:numId="35" w16cid:durableId="1318878381">
    <w:abstractNumId w:val="24"/>
  </w:num>
  <w:num w:numId="36" w16cid:durableId="1668511846">
    <w:abstractNumId w:val="39"/>
  </w:num>
  <w:num w:numId="37" w16cid:durableId="861940851">
    <w:abstractNumId w:val="15"/>
  </w:num>
  <w:num w:numId="38" w16cid:durableId="1360618613">
    <w:abstractNumId w:val="29"/>
  </w:num>
  <w:num w:numId="39" w16cid:durableId="1196967253">
    <w:abstractNumId w:val="21"/>
  </w:num>
  <w:num w:numId="40" w16cid:durableId="749959202">
    <w:abstractNumId w:val="37"/>
  </w:num>
  <w:num w:numId="41" w16cid:durableId="2092312017">
    <w:abstractNumId w:val="30"/>
  </w:num>
  <w:num w:numId="42" w16cid:durableId="31950708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6058"/>
    <w:rsid w:val="000121CB"/>
    <w:rsid w:val="00026A54"/>
    <w:rsid w:val="0003366F"/>
    <w:rsid w:val="00036DBB"/>
    <w:rsid w:val="000420DD"/>
    <w:rsid w:val="0004685E"/>
    <w:rsid w:val="00084F44"/>
    <w:rsid w:val="0009047A"/>
    <w:rsid w:val="00097241"/>
    <w:rsid w:val="000A23D3"/>
    <w:rsid w:val="000A76D6"/>
    <w:rsid w:val="000B0A6A"/>
    <w:rsid w:val="000C1A17"/>
    <w:rsid w:val="000D5A99"/>
    <w:rsid w:val="000F554D"/>
    <w:rsid w:val="000F6328"/>
    <w:rsid w:val="00107D65"/>
    <w:rsid w:val="00137432"/>
    <w:rsid w:val="00143130"/>
    <w:rsid w:val="0014465A"/>
    <w:rsid w:val="0015224A"/>
    <w:rsid w:val="00153F22"/>
    <w:rsid w:val="001555AC"/>
    <w:rsid w:val="001565FD"/>
    <w:rsid w:val="0016225E"/>
    <w:rsid w:val="0016304D"/>
    <w:rsid w:val="00165468"/>
    <w:rsid w:val="00165519"/>
    <w:rsid w:val="00171C82"/>
    <w:rsid w:val="0018021B"/>
    <w:rsid w:val="001C29D9"/>
    <w:rsid w:val="001C3D7E"/>
    <w:rsid w:val="001C505E"/>
    <w:rsid w:val="001E035E"/>
    <w:rsid w:val="001E72B5"/>
    <w:rsid w:val="001F3F23"/>
    <w:rsid w:val="0020401E"/>
    <w:rsid w:val="002101D9"/>
    <w:rsid w:val="00216CC3"/>
    <w:rsid w:val="00222BED"/>
    <w:rsid w:val="002304E4"/>
    <w:rsid w:val="00230C9A"/>
    <w:rsid w:val="00246179"/>
    <w:rsid w:val="00261339"/>
    <w:rsid w:val="00261B88"/>
    <w:rsid w:val="00263108"/>
    <w:rsid w:val="00273CFD"/>
    <w:rsid w:val="00290944"/>
    <w:rsid w:val="002912FE"/>
    <w:rsid w:val="002A474B"/>
    <w:rsid w:val="002A626E"/>
    <w:rsid w:val="002B475A"/>
    <w:rsid w:val="002C2765"/>
    <w:rsid w:val="002C422B"/>
    <w:rsid w:val="002C4E6E"/>
    <w:rsid w:val="002C658C"/>
    <w:rsid w:val="002C7F2C"/>
    <w:rsid w:val="002D4D03"/>
    <w:rsid w:val="002F1836"/>
    <w:rsid w:val="003150D0"/>
    <w:rsid w:val="003236D0"/>
    <w:rsid w:val="00323BBA"/>
    <w:rsid w:val="00334A5F"/>
    <w:rsid w:val="00341C69"/>
    <w:rsid w:val="00351D4B"/>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0CD"/>
    <w:rsid w:val="00470AB6"/>
    <w:rsid w:val="004718C8"/>
    <w:rsid w:val="0047250A"/>
    <w:rsid w:val="00475921"/>
    <w:rsid w:val="004767D9"/>
    <w:rsid w:val="0047713F"/>
    <w:rsid w:val="00477AA1"/>
    <w:rsid w:val="00480044"/>
    <w:rsid w:val="0048180B"/>
    <w:rsid w:val="00481FF0"/>
    <w:rsid w:val="00483E3A"/>
    <w:rsid w:val="00484613"/>
    <w:rsid w:val="004A2E21"/>
    <w:rsid w:val="004A2F52"/>
    <w:rsid w:val="004B7CF6"/>
    <w:rsid w:val="004C1BD0"/>
    <w:rsid w:val="004C721A"/>
    <w:rsid w:val="004D238B"/>
    <w:rsid w:val="004E2DBF"/>
    <w:rsid w:val="004E5655"/>
    <w:rsid w:val="004F1729"/>
    <w:rsid w:val="004F3532"/>
    <w:rsid w:val="004F4B43"/>
    <w:rsid w:val="004F690D"/>
    <w:rsid w:val="004F7C2A"/>
    <w:rsid w:val="0050743B"/>
    <w:rsid w:val="0051322B"/>
    <w:rsid w:val="005238FE"/>
    <w:rsid w:val="005442B3"/>
    <w:rsid w:val="00547246"/>
    <w:rsid w:val="00586FA3"/>
    <w:rsid w:val="005907B7"/>
    <w:rsid w:val="005A210F"/>
    <w:rsid w:val="005B5436"/>
    <w:rsid w:val="005B681B"/>
    <w:rsid w:val="005C2621"/>
    <w:rsid w:val="005C3338"/>
    <w:rsid w:val="005C5732"/>
    <w:rsid w:val="005D6336"/>
    <w:rsid w:val="005F5F35"/>
    <w:rsid w:val="006040B7"/>
    <w:rsid w:val="00604FFF"/>
    <w:rsid w:val="006171F1"/>
    <w:rsid w:val="0062594A"/>
    <w:rsid w:val="006261B3"/>
    <w:rsid w:val="0062688A"/>
    <w:rsid w:val="0063093F"/>
    <w:rsid w:val="0064391D"/>
    <w:rsid w:val="00671C08"/>
    <w:rsid w:val="006932F3"/>
    <w:rsid w:val="006A2DF1"/>
    <w:rsid w:val="006A6825"/>
    <w:rsid w:val="006A74AB"/>
    <w:rsid w:val="006B2576"/>
    <w:rsid w:val="006B2A05"/>
    <w:rsid w:val="006B5389"/>
    <w:rsid w:val="006C070D"/>
    <w:rsid w:val="006C5749"/>
    <w:rsid w:val="006D305F"/>
    <w:rsid w:val="006E0547"/>
    <w:rsid w:val="006E5B95"/>
    <w:rsid w:val="006F599E"/>
    <w:rsid w:val="00711888"/>
    <w:rsid w:val="00733BB8"/>
    <w:rsid w:val="00755EFD"/>
    <w:rsid w:val="007607FF"/>
    <w:rsid w:val="007651CB"/>
    <w:rsid w:val="0078742F"/>
    <w:rsid w:val="00791CCE"/>
    <w:rsid w:val="00795452"/>
    <w:rsid w:val="007B004A"/>
    <w:rsid w:val="007B2144"/>
    <w:rsid w:val="007B67FA"/>
    <w:rsid w:val="007C1EB6"/>
    <w:rsid w:val="007C63FE"/>
    <w:rsid w:val="007C6AE7"/>
    <w:rsid w:val="007D484D"/>
    <w:rsid w:val="007E0736"/>
    <w:rsid w:val="007E19FD"/>
    <w:rsid w:val="007E41FC"/>
    <w:rsid w:val="007F5C74"/>
    <w:rsid w:val="00801195"/>
    <w:rsid w:val="00820FF6"/>
    <w:rsid w:val="008329FD"/>
    <w:rsid w:val="00834941"/>
    <w:rsid w:val="008430BA"/>
    <w:rsid w:val="00852841"/>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0A0"/>
    <w:rsid w:val="008E1C16"/>
    <w:rsid w:val="008E2DBF"/>
    <w:rsid w:val="009003E6"/>
    <w:rsid w:val="0090147C"/>
    <w:rsid w:val="009123C2"/>
    <w:rsid w:val="00947050"/>
    <w:rsid w:val="0095386F"/>
    <w:rsid w:val="00957A69"/>
    <w:rsid w:val="009601BA"/>
    <w:rsid w:val="00966D81"/>
    <w:rsid w:val="00974023"/>
    <w:rsid w:val="0098678C"/>
    <w:rsid w:val="0099199E"/>
    <w:rsid w:val="0099266F"/>
    <w:rsid w:val="00993F3E"/>
    <w:rsid w:val="009B26D3"/>
    <w:rsid w:val="009B6D72"/>
    <w:rsid w:val="009C1CD8"/>
    <w:rsid w:val="009C3BD8"/>
    <w:rsid w:val="009D0B8C"/>
    <w:rsid w:val="009E042E"/>
    <w:rsid w:val="009F47E6"/>
    <w:rsid w:val="009F6EAF"/>
    <w:rsid w:val="00A1109D"/>
    <w:rsid w:val="00A12041"/>
    <w:rsid w:val="00A122D6"/>
    <w:rsid w:val="00A1293E"/>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135E4"/>
    <w:rsid w:val="00B20BFE"/>
    <w:rsid w:val="00B22CBA"/>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7E4E"/>
    <w:rsid w:val="00C0304D"/>
    <w:rsid w:val="00C130BC"/>
    <w:rsid w:val="00C16318"/>
    <w:rsid w:val="00C163C7"/>
    <w:rsid w:val="00C2041D"/>
    <w:rsid w:val="00C23C40"/>
    <w:rsid w:val="00C30E9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53FC"/>
    <w:rsid w:val="00E066C9"/>
    <w:rsid w:val="00E14620"/>
    <w:rsid w:val="00E20E5D"/>
    <w:rsid w:val="00E241BC"/>
    <w:rsid w:val="00E2482E"/>
    <w:rsid w:val="00E25BB1"/>
    <w:rsid w:val="00E322C4"/>
    <w:rsid w:val="00E35014"/>
    <w:rsid w:val="00E37313"/>
    <w:rsid w:val="00E44C7C"/>
    <w:rsid w:val="00E81687"/>
    <w:rsid w:val="00E83E6A"/>
    <w:rsid w:val="00EA0899"/>
    <w:rsid w:val="00ED039A"/>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Lentelsvidus">
    <w:name w:val="_Lentelės vidus"/>
    <w:basedOn w:val="prastasis"/>
    <w:qFormat/>
    <w:rsid w:val="00222BED"/>
    <w:pPr>
      <w:spacing w:before="60" w:after="60" w:line="276" w:lineRule="auto"/>
      <w:jc w:val="left"/>
    </w:pPr>
    <w:rPr>
      <w:rFonts w:ascii="Times New Roman" w:eastAsia="Times New Roman" w:hAnsi="Times New Roman" w:cs="Times New Roman"/>
      <w:lang w:val="lt-LT" w:eastAsia="lt-LT"/>
    </w:rPr>
  </w:style>
  <w:style w:type="paragraph" w:customStyle="1" w:styleId="Lentelsheaderis">
    <w:name w:val="_Lentelės headeris"/>
    <w:basedOn w:val="prastasis"/>
    <w:link w:val="LentelsheaderisChar"/>
    <w:qFormat/>
    <w:rsid w:val="00222BED"/>
    <w:pPr>
      <w:spacing w:before="60" w:after="60" w:line="240" w:lineRule="auto"/>
      <w:jc w:val="center"/>
    </w:pPr>
    <w:rPr>
      <w:rFonts w:ascii="Times New Roman" w:eastAsia="Calibri" w:hAnsi="Times New Roman" w:cs="Times New Roman"/>
      <w:b/>
    </w:rPr>
  </w:style>
  <w:style w:type="character" w:customStyle="1" w:styleId="LentelsheaderisChar">
    <w:name w:val="_Lentelės headeris Char"/>
    <w:link w:val="Lentelsheaderis"/>
    <w:rsid w:val="00222BED"/>
    <w:rPr>
      <w:rFonts w:ascii="Times New Roman" w:eastAsia="Calibri" w:hAnsi="Times New Roman"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D505BB3-C6CD-410B-B723-A3E42420C6F2}">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8</TotalTime>
  <Pages>1</Pages>
  <Words>10774</Words>
  <Characters>6142</Characters>
  <Application>Microsoft Office Word</Application>
  <DocSecurity>0</DocSecurity>
  <Lines>51</Lines>
  <Paragraphs>33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6</cp:revision>
  <cp:lastPrinted>2021-01-19T12:06:00Z</cp:lastPrinted>
  <dcterms:created xsi:type="dcterms:W3CDTF">2026-04-09T11:15:00Z</dcterms:created>
  <dcterms:modified xsi:type="dcterms:W3CDTF">2026-04-14T10:40:00Z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